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27718" w14:textId="77777777" w:rsidR="00A71428" w:rsidRDefault="00A71428">
      <w:pPr>
        <w:pStyle w:val="Title"/>
        <w:jc w:val="center"/>
      </w:pPr>
      <w:bookmarkStart w:id="0" w:name="_heading=h.lpr9bwgwpe8u" w:colFirst="0" w:colLast="0"/>
      <w:bookmarkEnd w:id="0"/>
    </w:p>
    <w:p w14:paraId="1CBFA2C5" w14:textId="77777777" w:rsidR="00A71428" w:rsidRDefault="00A71428">
      <w:pPr>
        <w:pStyle w:val="Title"/>
        <w:jc w:val="center"/>
      </w:pPr>
      <w:bookmarkStart w:id="1" w:name="_heading=h.vdf3wa6h8bd4" w:colFirst="0" w:colLast="0"/>
      <w:bookmarkEnd w:id="1"/>
    </w:p>
    <w:p w14:paraId="7ED42B3E" w14:textId="77777777" w:rsidR="00A71428" w:rsidRDefault="00A71428">
      <w:pPr>
        <w:pStyle w:val="Title"/>
        <w:jc w:val="center"/>
      </w:pPr>
      <w:bookmarkStart w:id="2" w:name="_heading=h.30klqya7wcpk" w:colFirst="0" w:colLast="0"/>
      <w:bookmarkEnd w:id="2"/>
    </w:p>
    <w:p w14:paraId="2C8BD4E6" w14:textId="77777777" w:rsidR="00A71428" w:rsidRDefault="00000000">
      <w:pPr>
        <w:pStyle w:val="Title"/>
        <w:jc w:val="center"/>
      </w:pPr>
      <w:bookmarkStart w:id="3" w:name="_heading=h.phlom5pfm1wx" w:colFirst="0" w:colLast="0"/>
      <w:bookmarkEnd w:id="3"/>
      <w:r>
        <w:t>A Bad (F)Influence: Protecting Consumers from Harmful Financial Advice Online</w:t>
      </w:r>
    </w:p>
    <w:p w14:paraId="0B733A46" w14:textId="77777777" w:rsidR="00A71428" w:rsidRDefault="00A71428">
      <w:pPr>
        <w:jc w:val="center"/>
      </w:pPr>
    </w:p>
    <w:p w14:paraId="5E8F442D" w14:textId="77777777" w:rsidR="00A71428" w:rsidRDefault="00A71428">
      <w:pPr>
        <w:jc w:val="center"/>
      </w:pPr>
    </w:p>
    <w:p w14:paraId="39376DC1" w14:textId="77777777" w:rsidR="00A71428" w:rsidRDefault="00A71428">
      <w:pPr>
        <w:jc w:val="center"/>
      </w:pPr>
    </w:p>
    <w:p w14:paraId="1E7A652C" w14:textId="77777777" w:rsidR="00A71428" w:rsidRDefault="00000000">
      <w:pPr>
        <w:jc w:val="center"/>
      </w:pPr>
      <w:r>
        <w:t>Amelia Cai</w:t>
      </w:r>
    </w:p>
    <w:p w14:paraId="58881D94" w14:textId="77777777" w:rsidR="00A71428" w:rsidRDefault="00000000">
      <w:pPr>
        <w:jc w:val="center"/>
      </w:pPr>
      <w:r>
        <w:t>Supervisor: Dr Jodi Gardner</w:t>
      </w:r>
    </w:p>
    <w:p w14:paraId="78E39360" w14:textId="77777777" w:rsidR="00A71428" w:rsidRDefault="00A71428">
      <w:pPr>
        <w:jc w:val="center"/>
      </w:pPr>
    </w:p>
    <w:p w14:paraId="4D99B732" w14:textId="77777777" w:rsidR="00A71428" w:rsidRDefault="00A71428">
      <w:pPr>
        <w:jc w:val="center"/>
      </w:pPr>
    </w:p>
    <w:p w14:paraId="1D15D39B" w14:textId="77777777" w:rsidR="00A71428" w:rsidRDefault="00A71428">
      <w:pPr>
        <w:jc w:val="center"/>
      </w:pPr>
    </w:p>
    <w:p w14:paraId="69639E00" w14:textId="77777777" w:rsidR="00A71428" w:rsidRDefault="00000000">
      <w:pPr>
        <w:jc w:val="center"/>
      </w:pPr>
      <w:r>
        <w:t xml:space="preserve">A dissertation submitted in partial fulfilment of the requirements for the degree of </w:t>
      </w:r>
    </w:p>
    <w:p w14:paraId="2DB144C9" w14:textId="77777777" w:rsidR="00A71428" w:rsidRDefault="00000000">
      <w:pPr>
        <w:jc w:val="center"/>
      </w:pPr>
      <w:r>
        <w:t>Bachelor of Laws (Honours), the University of Auckland</w:t>
      </w:r>
    </w:p>
    <w:p w14:paraId="04A8A43F" w14:textId="77777777" w:rsidR="00A71428" w:rsidRDefault="00A71428">
      <w:pPr>
        <w:jc w:val="center"/>
      </w:pPr>
    </w:p>
    <w:p w14:paraId="54B1B477" w14:textId="77777777" w:rsidR="00A71428" w:rsidRDefault="00000000">
      <w:pPr>
        <w:jc w:val="center"/>
      </w:pPr>
      <w:r>
        <w:t>November 2025</w:t>
      </w:r>
    </w:p>
    <w:p w14:paraId="4065202F" w14:textId="77777777" w:rsidR="00A71428" w:rsidRDefault="00A71428">
      <w:pPr>
        <w:jc w:val="center"/>
      </w:pPr>
    </w:p>
    <w:p w14:paraId="02907495" w14:textId="27C8E369" w:rsidR="00A71428" w:rsidRDefault="00000000">
      <w:pPr>
        <w:jc w:val="center"/>
      </w:pPr>
      <w:r>
        <w:t>Word count: 1</w:t>
      </w:r>
      <w:r w:rsidR="00A47CD3">
        <w:t>4,976</w:t>
      </w:r>
    </w:p>
    <w:p w14:paraId="7AD532DF" w14:textId="77777777" w:rsidR="00A71428" w:rsidRDefault="00A71428"/>
    <w:p w14:paraId="600D7E70" w14:textId="77777777" w:rsidR="00A71428" w:rsidRDefault="00000000">
      <w:pPr>
        <w:pStyle w:val="Heading1"/>
        <w:spacing w:line="132" w:lineRule="auto"/>
        <w:ind w:left="1080" w:firstLine="360"/>
      </w:pPr>
      <w:bookmarkStart w:id="4" w:name="_heading=h.1jp8neggrli9" w:colFirst="0" w:colLast="0"/>
      <w:bookmarkEnd w:id="4"/>
      <w:r>
        <w:lastRenderedPageBreak/>
        <w:br w:type="page"/>
      </w:r>
    </w:p>
    <w:p w14:paraId="00B86EF9" w14:textId="77777777" w:rsidR="00A71428" w:rsidRDefault="00000000">
      <w:pPr>
        <w:pStyle w:val="Heading1"/>
      </w:pPr>
      <w:bookmarkStart w:id="5" w:name="_heading=h.cxosuhovpy9d" w:colFirst="0" w:colLast="0"/>
      <w:bookmarkEnd w:id="5"/>
      <w:r>
        <w:lastRenderedPageBreak/>
        <w:t>Table of Contents</w:t>
      </w:r>
    </w:p>
    <w:sdt>
      <w:sdtPr>
        <w:id w:val="1148168577"/>
        <w:docPartObj>
          <w:docPartGallery w:val="Table of Contents"/>
          <w:docPartUnique/>
        </w:docPartObj>
      </w:sdtPr>
      <w:sdtContent>
        <w:p w14:paraId="3E860998" w14:textId="77777777" w:rsidR="00A71428" w:rsidRDefault="00000000">
          <w:pPr>
            <w:widowControl w:val="0"/>
            <w:tabs>
              <w:tab w:val="right" w:pos="12000"/>
            </w:tabs>
            <w:spacing w:before="60" w:line="240" w:lineRule="auto"/>
            <w:jc w:val="left"/>
            <w:rPr>
              <w:rFonts w:ascii="Arial" w:eastAsia="Arial" w:hAnsi="Arial" w:cs="Arial"/>
              <w:b/>
              <w:bCs/>
              <w:color w:val="000000"/>
              <w:sz w:val="22"/>
              <w:szCs w:val="22"/>
            </w:rPr>
          </w:pPr>
          <w:r>
            <w:fldChar w:fldCharType="begin"/>
          </w:r>
          <w:r>
            <w:instrText xml:space="preserve"> TOC \h \u \z \t "Heading 1,1,Heading 2,2,Heading 3,3,Heading 4,4,Heading 5,5,Heading 6,6,"</w:instrText>
          </w:r>
          <w:r>
            <w:fldChar w:fldCharType="separate"/>
          </w:r>
          <w:hyperlink w:anchor="_heading=h.za4elocqjf7z">
            <w:r>
              <w:rPr>
                <w:b/>
                <w:bCs/>
                <w:color w:val="000000"/>
              </w:rPr>
              <w:t>Abstract</w:t>
            </w:r>
            <w:r>
              <w:rPr>
                <w:b/>
                <w:bCs/>
                <w:color w:val="000000"/>
              </w:rPr>
              <w:tab/>
              <w:t>4</w:t>
            </w:r>
          </w:hyperlink>
        </w:p>
        <w:p w14:paraId="372ADC78" w14:textId="77777777" w:rsidR="00A71428" w:rsidRDefault="00000000">
          <w:pPr>
            <w:widowControl w:val="0"/>
            <w:tabs>
              <w:tab w:val="right" w:pos="12000"/>
            </w:tabs>
            <w:spacing w:before="60" w:line="240" w:lineRule="auto"/>
            <w:jc w:val="left"/>
            <w:rPr>
              <w:rFonts w:ascii="Arial" w:eastAsia="Arial" w:hAnsi="Arial" w:cs="Arial"/>
              <w:b/>
              <w:bCs/>
              <w:color w:val="000000"/>
              <w:sz w:val="22"/>
              <w:szCs w:val="22"/>
            </w:rPr>
          </w:pPr>
          <w:hyperlink w:anchor="_heading=h.9mrq5fo9pj5o">
            <w:r>
              <w:rPr>
                <w:b/>
                <w:bCs/>
                <w:color w:val="000000"/>
              </w:rPr>
              <w:t>Acknowledgements</w:t>
            </w:r>
            <w:r>
              <w:rPr>
                <w:b/>
                <w:bCs/>
                <w:color w:val="000000"/>
              </w:rPr>
              <w:tab/>
              <w:t>5</w:t>
            </w:r>
          </w:hyperlink>
        </w:p>
        <w:p w14:paraId="0258BB25" w14:textId="77777777" w:rsidR="00A71428" w:rsidRDefault="00000000">
          <w:pPr>
            <w:widowControl w:val="0"/>
            <w:tabs>
              <w:tab w:val="right" w:pos="12000"/>
            </w:tabs>
            <w:spacing w:before="60" w:line="240" w:lineRule="auto"/>
            <w:jc w:val="left"/>
            <w:rPr>
              <w:rFonts w:ascii="Arial" w:eastAsia="Arial" w:hAnsi="Arial" w:cs="Arial"/>
              <w:b/>
              <w:bCs/>
              <w:color w:val="000000"/>
              <w:sz w:val="22"/>
              <w:szCs w:val="22"/>
            </w:rPr>
          </w:pPr>
          <w:hyperlink w:anchor="_heading=h.klrvuc3gfbh2">
            <w:r>
              <w:rPr>
                <w:b/>
                <w:bCs/>
                <w:color w:val="000000"/>
              </w:rPr>
              <w:t>I Introduction</w:t>
            </w:r>
            <w:r>
              <w:rPr>
                <w:b/>
                <w:bCs/>
                <w:color w:val="000000"/>
              </w:rPr>
              <w:tab/>
              <w:t>6</w:t>
            </w:r>
          </w:hyperlink>
        </w:p>
        <w:p w14:paraId="21101BDD" w14:textId="77777777" w:rsidR="00A71428" w:rsidRDefault="00000000">
          <w:pPr>
            <w:widowControl w:val="0"/>
            <w:tabs>
              <w:tab w:val="right" w:pos="12000"/>
            </w:tabs>
            <w:spacing w:before="60" w:line="240" w:lineRule="auto"/>
            <w:jc w:val="left"/>
            <w:rPr>
              <w:rFonts w:ascii="Arial" w:eastAsia="Arial" w:hAnsi="Arial" w:cs="Arial"/>
              <w:b/>
              <w:bCs/>
              <w:color w:val="000000"/>
              <w:sz w:val="22"/>
              <w:szCs w:val="22"/>
            </w:rPr>
          </w:pPr>
          <w:hyperlink w:anchor="_heading=h.q4y5g272uv3x">
            <w:r>
              <w:rPr>
                <w:b/>
                <w:bCs/>
                <w:color w:val="000000"/>
              </w:rPr>
              <w:t>II Finfluencers and the Framework Behind Financial Advice</w:t>
            </w:r>
            <w:r>
              <w:rPr>
                <w:b/>
                <w:bCs/>
                <w:color w:val="000000"/>
              </w:rPr>
              <w:tab/>
              <w:t>7</w:t>
            </w:r>
          </w:hyperlink>
        </w:p>
        <w:p w14:paraId="0209A138" w14:textId="77777777" w:rsidR="00A71428" w:rsidRDefault="00000000">
          <w:pPr>
            <w:widowControl w:val="0"/>
            <w:tabs>
              <w:tab w:val="right" w:pos="12000"/>
            </w:tabs>
            <w:spacing w:before="60" w:line="240" w:lineRule="auto"/>
            <w:ind w:left="360"/>
            <w:jc w:val="left"/>
            <w:rPr>
              <w:rFonts w:ascii="Arial" w:eastAsia="Arial" w:hAnsi="Arial" w:cs="Arial"/>
              <w:color w:val="000000"/>
              <w:sz w:val="22"/>
              <w:szCs w:val="22"/>
            </w:rPr>
          </w:pPr>
          <w:hyperlink w:anchor="_heading=h.tgx2t8w36p9b">
            <w:r>
              <w:rPr>
                <w:color w:val="000000"/>
              </w:rPr>
              <w:t>A What are Finfluencers?</w:t>
            </w:r>
            <w:r>
              <w:rPr>
                <w:color w:val="000000"/>
              </w:rPr>
              <w:tab/>
              <w:t>7</w:t>
            </w:r>
          </w:hyperlink>
        </w:p>
        <w:p w14:paraId="467A80BD" w14:textId="77777777" w:rsidR="00A71428" w:rsidRDefault="00000000">
          <w:pPr>
            <w:widowControl w:val="0"/>
            <w:tabs>
              <w:tab w:val="right" w:pos="12000"/>
            </w:tabs>
            <w:spacing w:before="60" w:line="240" w:lineRule="auto"/>
            <w:ind w:left="360"/>
            <w:jc w:val="left"/>
            <w:rPr>
              <w:rFonts w:ascii="Arial" w:eastAsia="Arial" w:hAnsi="Arial" w:cs="Arial"/>
              <w:color w:val="000000"/>
              <w:sz w:val="22"/>
              <w:szCs w:val="22"/>
            </w:rPr>
          </w:pPr>
          <w:hyperlink w:anchor="_heading=h.wa86saay8vol">
            <w:r>
              <w:rPr>
                <w:color w:val="000000"/>
              </w:rPr>
              <w:t>B Finfluencers in the Context of Social Media</w:t>
            </w:r>
            <w:r>
              <w:rPr>
                <w:color w:val="000000"/>
              </w:rPr>
              <w:tab/>
              <w:t>9</w:t>
            </w:r>
          </w:hyperlink>
        </w:p>
        <w:p w14:paraId="64A9B09F" w14:textId="77777777" w:rsidR="00A71428" w:rsidRDefault="00000000">
          <w:pPr>
            <w:widowControl w:val="0"/>
            <w:tabs>
              <w:tab w:val="right" w:pos="12000"/>
            </w:tabs>
            <w:spacing w:before="60" w:line="240" w:lineRule="auto"/>
            <w:ind w:left="360"/>
            <w:jc w:val="left"/>
            <w:rPr>
              <w:rFonts w:ascii="Arial" w:eastAsia="Arial" w:hAnsi="Arial" w:cs="Arial"/>
              <w:color w:val="000000"/>
              <w:sz w:val="22"/>
              <w:szCs w:val="22"/>
            </w:rPr>
          </w:pPr>
          <w:hyperlink w:anchor="_heading=h.uinlmq25xnpv">
            <w:r>
              <w:rPr>
                <w:color w:val="000000"/>
              </w:rPr>
              <w:t>C Necessity of Financial Advice</w:t>
            </w:r>
            <w:r>
              <w:rPr>
                <w:color w:val="000000"/>
              </w:rPr>
              <w:tab/>
              <w:t>12</w:t>
            </w:r>
          </w:hyperlink>
        </w:p>
        <w:p w14:paraId="5CE9AC0F" w14:textId="77777777" w:rsidR="00A71428" w:rsidRDefault="00000000">
          <w:pPr>
            <w:widowControl w:val="0"/>
            <w:tabs>
              <w:tab w:val="right" w:pos="12000"/>
            </w:tabs>
            <w:spacing w:before="60" w:line="240" w:lineRule="auto"/>
            <w:ind w:left="360"/>
            <w:jc w:val="left"/>
            <w:rPr>
              <w:rFonts w:ascii="Arial" w:eastAsia="Arial" w:hAnsi="Arial" w:cs="Arial"/>
              <w:color w:val="000000"/>
              <w:sz w:val="22"/>
              <w:szCs w:val="22"/>
            </w:rPr>
          </w:pPr>
          <w:hyperlink w:anchor="_heading=h.bxxymf1o72dr">
            <w:r>
              <w:rPr>
                <w:color w:val="000000"/>
              </w:rPr>
              <w:t>D Why Regulate Financial Advice from Finfluencers</w:t>
            </w:r>
            <w:r>
              <w:rPr>
                <w:color w:val="000000"/>
              </w:rPr>
              <w:tab/>
              <w:t>13</w:t>
            </w:r>
          </w:hyperlink>
        </w:p>
        <w:p w14:paraId="0B7AB5A9" w14:textId="77777777" w:rsidR="00A71428" w:rsidRDefault="00000000">
          <w:pPr>
            <w:widowControl w:val="0"/>
            <w:tabs>
              <w:tab w:val="right" w:pos="12000"/>
            </w:tabs>
            <w:spacing w:before="60" w:line="240" w:lineRule="auto"/>
            <w:ind w:left="720"/>
            <w:jc w:val="left"/>
            <w:rPr>
              <w:rFonts w:ascii="Arial" w:eastAsia="Arial" w:hAnsi="Arial" w:cs="Arial"/>
              <w:color w:val="000000"/>
              <w:sz w:val="22"/>
              <w:szCs w:val="22"/>
            </w:rPr>
          </w:pPr>
          <w:hyperlink w:anchor="_heading=h.jtrsqzhs40ga">
            <w:r>
              <w:rPr>
                <w:color w:val="000000"/>
              </w:rPr>
              <w:t>1 Civil redress is ineffective</w:t>
            </w:r>
            <w:r>
              <w:rPr>
                <w:color w:val="000000"/>
              </w:rPr>
              <w:tab/>
              <w:t>15</w:t>
            </w:r>
          </w:hyperlink>
        </w:p>
        <w:p w14:paraId="7D97D1AF" w14:textId="77777777" w:rsidR="00A71428" w:rsidRDefault="00000000">
          <w:pPr>
            <w:widowControl w:val="0"/>
            <w:tabs>
              <w:tab w:val="right" w:pos="12000"/>
            </w:tabs>
            <w:spacing w:before="60" w:line="240" w:lineRule="auto"/>
            <w:ind w:left="720"/>
            <w:jc w:val="left"/>
            <w:rPr>
              <w:rFonts w:ascii="Arial" w:eastAsia="Arial" w:hAnsi="Arial" w:cs="Arial"/>
              <w:color w:val="000000"/>
              <w:sz w:val="22"/>
              <w:szCs w:val="22"/>
            </w:rPr>
          </w:pPr>
          <w:hyperlink w:anchor="_heading=h.29v3kmiskjny">
            <w:r>
              <w:rPr>
                <w:color w:val="000000"/>
              </w:rPr>
              <w:t>2 Conflicts of interest</w:t>
            </w:r>
            <w:r>
              <w:rPr>
                <w:color w:val="000000"/>
              </w:rPr>
              <w:tab/>
              <w:t>17</w:t>
            </w:r>
          </w:hyperlink>
        </w:p>
        <w:p w14:paraId="445416BE" w14:textId="77777777" w:rsidR="00A71428" w:rsidRDefault="00000000">
          <w:pPr>
            <w:widowControl w:val="0"/>
            <w:tabs>
              <w:tab w:val="right" w:pos="12000"/>
            </w:tabs>
            <w:spacing w:before="60" w:line="240" w:lineRule="auto"/>
            <w:ind w:left="720"/>
            <w:jc w:val="left"/>
            <w:rPr>
              <w:rFonts w:ascii="Arial" w:eastAsia="Arial" w:hAnsi="Arial" w:cs="Arial"/>
              <w:color w:val="000000"/>
              <w:sz w:val="22"/>
              <w:szCs w:val="22"/>
            </w:rPr>
          </w:pPr>
          <w:hyperlink w:anchor="_heading=h.su1k2w3o7efu">
            <w:r>
              <w:rPr>
                <w:color w:val="000000"/>
              </w:rPr>
              <w:t>3 Behavioural biases</w:t>
            </w:r>
            <w:r>
              <w:rPr>
                <w:color w:val="000000"/>
              </w:rPr>
              <w:tab/>
              <w:t>19</w:t>
            </w:r>
          </w:hyperlink>
        </w:p>
        <w:p w14:paraId="68F94DB7" w14:textId="77777777" w:rsidR="00A71428" w:rsidRDefault="00000000">
          <w:pPr>
            <w:widowControl w:val="0"/>
            <w:tabs>
              <w:tab w:val="right" w:pos="12000"/>
            </w:tabs>
            <w:spacing w:before="60" w:line="240" w:lineRule="auto"/>
            <w:jc w:val="left"/>
            <w:rPr>
              <w:rFonts w:ascii="Arial" w:eastAsia="Arial" w:hAnsi="Arial" w:cs="Arial"/>
              <w:b/>
              <w:bCs/>
              <w:color w:val="000000"/>
              <w:sz w:val="22"/>
              <w:szCs w:val="22"/>
            </w:rPr>
          </w:pPr>
          <w:hyperlink w:anchor="_heading=h.879e17n05ryh">
            <w:r>
              <w:rPr>
                <w:b/>
                <w:bCs/>
                <w:color w:val="000000"/>
              </w:rPr>
              <w:t>III New Zealand’s Regulatory Framework</w:t>
            </w:r>
            <w:r>
              <w:rPr>
                <w:b/>
                <w:bCs/>
                <w:color w:val="000000"/>
              </w:rPr>
              <w:tab/>
              <w:t>21</w:t>
            </w:r>
          </w:hyperlink>
        </w:p>
        <w:p w14:paraId="3F274564" w14:textId="77777777" w:rsidR="00A71428" w:rsidRDefault="00000000">
          <w:pPr>
            <w:widowControl w:val="0"/>
            <w:tabs>
              <w:tab w:val="right" w:pos="12000"/>
            </w:tabs>
            <w:spacing w:before="60" w:line="240" w:lineRule="auto"/>
            <w:ind w:left="360"/>
            <w:jc w:val="left"/>
            <w:rPr>
              <w:rFonts w:ascii="Arial" w:eastAsia="Arial" w:hAnsi="Arial" w:cs="Arial"/>
              <w:color w:val="000000"/>
              <w:sz w:val="22"/>
              <w:szCs w:val="22"/>
            </w:rPr>
          </w:pPr>
          <w:hyperlink w:anchor="_heading=h.h51pbmyotav4">
            <w:r>
              <w:rPr>
                <w:color w:val="000000"/>
              </w:rPr>
              <w:t>A Types of Regulation for the Financial Advice Industry</w:t>
            </w:r>
            <w:r>
              <w:rPr>
                <w:color w:val="000000"/>
              </w:rPr>
              <w:tab/>
              <w:t>22</w:t>
            </w:r>
          </w:hyperlink>
        </w:p>
        <w:p w14:paraId="609DD3FC" w14:textId="77777777" w:rsidR="00A71428" w:rsidRDefault="00000000">
          <w:pPr>
            <w:widowControl w:val="0"/>
            <w:tabs>
              <w:tab w:val="right" w:pos="12000"/>
            </w:tabs>
            <w:spacing w:before="60" w:line="240" w:lineRule="auto"/>
            <w:ind w:left="360"/>
            <w:jc w:val="left"/>
            <w:rPr>
              <w:rFonts w:ascii="Arial" w:eastAsia="Arial" w:hAnsi="Arial" w:cs="Arial"/>
              <w:color w:val="000000"/>
              <w:sz w:val="22"/>
              <w:szCs w:val="22"/>
            </w:rPr>
          </w:pPr>
          <w:hyperlink w:anchor="_heading=h.n92eg4b1sxjo">
            <w:r>
              <w:rPr>
                <w:color w:val="000000"/>
              </w:rPr>
              <w:t>B The Financial Advice Provider Licence</w:t>
            </w:r>
            <w:r>
              <w:rPr>
                <w:color w:val="000000"/>
              </w:rPr>
              <w:tab/>
              <w:t>22</w:t>
            </w:r>
          </w:hyperlink>
        </w:p>
        <w:p w14:paraId="21DA4F67" w14:textId="77777777" w:rsidR="00A71428" w:rsidRDefault="00000000">
          <w:pPr>
            <w:widowControl w:val="0"/>
            <w:tabs>
              <w:tab w:val="right" w:pos="12000"/>
            </w:tabs>
            <w:spacing w:before="60" w:line="240" w:lineRule="auto"/>
            <w:ind w:left="720"/>
            <w:jc w:val="left"/>
            <w:rPr>
              <w:rFonts w:ascii="Arial" w:eastAsia="Arial" w:hAnsi="Arial" w:cs="Arial"/>
              <w:color w:val="000000"/>
              <w:sz w:val="22"/>
              <w:szCs w:val="22"/>
            </w:rPr>
          </w:pPr>
          <w:hyperlink w:anchor="_heading=h.hm8ldaudfaaw">
            <w:r>
              <w:rPr>
                <w:color w:val="000000"/>
              </w:rPr>
              <w:t>1 Licensing Threshold</w:t>
            </w:r>
            <w:r>
              <w:rPr>
                <w:color w:val="000000"/>
              </w:rPr>
              <w:tab/>
              <w:t>23</w:t>
            </w:r>
          </w:hyperlink>
        </w:p>
        <w:p w14:paraId="4F24E8A0" w14:textId="77777777" w:rsidR="00A71428" w:rsidRDefault="00000000">
          <w:pPr>
            <w:widowControl w:val="0"/>
            <w:tabs>
              <w:tab w:val="right" w:pos="12000"/>
            </w:tabs>
            <w:spacing w:before="60" w:line="240" w:lineRule="auto"/>
            <w:ind w:left="1080"/>
            <w:jc w:val="left"/>
            <w:rPr>
              <w:rFonts w:ascii="Arial" w:eastAsia="Arial" w:hAnsi="Arial" w:cs="Arial"/>
              <w:color w:val="000000"/>
              <w:sz w:val="22"/>
              <w:szCs w:val="22"/>
            </w:rPr>
          </w:pPr>
          <w:hyperlink w:anchor="_heading=h.nrr4adjbiawx">
            <w:r>
              <w:rPr>
                <w:color w:val="000000"/>
              </w:rPr>
              <w:t>(a) Retail investors</w:t>
            </w:r>
            <w:r>
              <w:rPr>
                <w:color w:val="000000"/>
              </w:rPr>
              <w:tab/>
              <w:t>23</w:t>
            </w:r>
          </w:hyperlink>
        </w:p>
        <w:p w14:paraId="55FD2388" w14:textId="77777777" w:rsidR="00A71428" w:rsidRDefault="00000000">
          <w:pPr>
            <w:widowControl w:val="0"/>
            <w:tabs>
              <w:tab w:val="right" w:pos="12000"/>
            </w:tabs>
            <w:spacing w:before="60" w:line="240" w:lineRule="auto"/>
            <w:ind w:left="1080"/>
            <w:jc w:val="left"/>
            <w:rPr>
              <w:rFonts w:ascii="Arial" w:eastAsia="Arial" w:hAnsi="Arial" w:cs="Arial"/>
              <w:color w:val="000000"/>
              <w:sz w:val="22"/>
              <w:szCs w:val="22"/>
            </w:rPr>
          </w:pPr>
          <w:hyperlink w:anchor="_heading=h.3z4uf98ckd0d">
            <w:r>
              <w:rPr>
                <w:color w:val="000000"/>
              </w:rPr>
              <w:t>(b) Financial advice</w:t>
            </w:r>
            <w:r>
              <w:rPr>
                <w:color w:val="000000"/>
              </w:rPr>
              <w:tab/>
              <w:t>23</w:t>
            </w:r>
          </w:hyperlink>
        </w:p>
        <w:p w14:paraId="6B48F757" w14:textId="77777777" w:rsidR="00A71428" w:rsidRDefault="00000000">
          <w:pPr>
            <w:widowControl w:val="0"/>
            <w:tabs>
              <w:tab w:val="right" w:pos="12000"/>
            </w:tabs>
            <w:spacing w:before="60" w:line="240" w:lineRule="auto"/>
            <w:ind w:left="1080"/>
            <w:jc w:val="left"/>
            <w:rPr>
              <w:rFonts w:ascii="Arial" w:eastAsia="Arial" w:hAnsi="Arial" w:cs="Arial"/>
              <w:color w:val="000000"/>
              <w:sz w:val="22"/>
              <w:szCs w:val="22"/>
            </w:rPr>
          </w:pPr>
          <w:hyperlink w:anchor="_heading=h.nttvrjixyhs7">
            <w:r>
              <w:rPr>
                <w:color w:val="000000"/>
              </w:rPr>
              <w:t>(c) In the ordinary course of business</w:t>
            </w:r>
            <w:r>
              <w:rPr>
                <w:color w:val="000000"/>
              </w:rPr>
              <w:tab/>
              <w:t>26</w:t>
            </w:r>
          </w:hyperlink>
        </w:p>
        <w:p w14:paraId="6945A3C3" w14:textId="77777777" w:rsidR="00A71428" w:rsidRDefault="00000000">
          <w:pPr>
            <w:widowControl w:val="0"/>
            <w:tabs>
              <w:tab w:val="right" w:pos="12000"/>
            </w:tabs>
            <w:spacing w:before="60" w:line="240" w:lineRule="auto"/>
            <w:ind w:left="1080"/>
            <w:jc w:val="left"/>
            <w:rPr>
              <w:rFonts w:ascii="Arial" w:eastAsia="Arial" w:hAnsi="Arial" w:cs="Arial"/>
              <w:color w:val="000000"/>
              <w:sz w:val="22"/>
              <w:szCs w:val="22"/>
            </w:rPr>
          </w:pPr>
          <w:hyperlink w:anchor="_heading=h.md659fx3p0jm">
            <w:r>
              <w:rPr>
                <w:color w:val="000000"/>
              </w:rPr>
              <w:t>(d) Exclusions</w:t>
            </w:r>
            <w:r>
              <w:rPr>
                <w:color w:val="000000"/>
              </w:rPr>
              <w:tab/>
              <w:t>27</w:t>
            </w:r>
          </w:hyperlink>
        </w:p>
        <w:p w14:paraId="2FA863E8" w14:textId="77777777" w:rsidR="00A71428" w:rsidRDefault="00000000">
          <w:pPr>
            <w:widowControl w:val="0"/>
            <w:tabs>
              <w:tab w:val="right" w:pos="12000"/>
            </w:tabs>
            <w:spacing w:before="60" w:line="240" w:lineRule="auto"/>
            <w:ind w:left="1080"/>
            <w:jc w:val="left"/>
            <w:rPr>
              <w:rFonts w:ascii="Arial" w:eastAsia="Arial" w:hAnsi="Arial" w:cs="Arial"/>
              <w:color w:val="000000"/>
              <w:sz w:val="22"/>
              <w:szCs w:val="22"/>
            </w:rPr>
          </w:pPr>
          <w:hyperlink w:anchor="_heading=h.g2rchelmeae4">
            <w:r>
              <w:rPr>
                <w:color w:val="000000"/>
              </w:rPr>
              <w:t>(e) Disclaimers</w:t>
            </w:r>
            <w:r>
              <w:rPr>
                <w:color w:val="000000"/>
              </w:rPr>
              <w:tab/>
              <w:t>29</w:t>
            </w:r>
          </w:hyperlink>
        </w:p>
        <w:p w14:paraId="6A0D7C9E" w14:textId="77777777" w:rsidR="00A71428" w:rsidRDefault="00000000">
          <w:pPr>
            <w:widowControl w:val="0"/>
            <w:tabs>
              <w:tab w:val="right" w:pos="12000"/>
            </w:tabs>
            <w:spacing w:before="60" w:line="240" w:lineRule="auto"/>
            <w:ind w:left="720"/>
            <w:jc w:val="left"/>
            <w:rPr>
              <w:rFonts w:ascii="Arial" w:eastAsia="Arial" w:hAnsi="Arial" w:cs="Arial"/>
              <w:color w:val="000000"/>
              <w:sz w:val="22"/>
              <w:szCs w:val="22"/>
            </w:rPr>
          </w:pPr>
          <w:hyperlink w:anchor="_heading=h.3orcv7eh1p5z">
            <w:r>
              <w:rPr>
                <w:color w:val="000000"/>
              </w:rPr>
              <w:t>2 Licensing Ambiguity</w:t>
            </w:r>
            <w:r>
              <w:rPr>
                <w:color w:val="000000"/>
              </w:rPr>
              <w:tab/>
              <w:t>29</w:t>
            </w:r>
          </w:hyperlink>
        </w:p>
        <w:p w14:paraId="2272A23A" w14:textId="77777777" w:rsidR="00A71428" w:rsidRDefault="00000000">
          <w:pPr>
            <w:widowControl w:val="0"/>
            <w:tabs>
              <w:tab w:val="right" w:pos="12000"/>
            </w:tabs>
            <w:spacing w:before="60" w:line="240" w:lineRule="auto"/>
            <w:ind w:left="1080"/>
            <w:jc w:val="left"/>
            <w:rPr>
              <w:rFonts w:ascii="Arial" w:eastAsia="Arial" w:hAnsi="Arial" w:cs="Arial"/>
              <w:color w:val="000000"/>
              <w:sz w:val="22"/>
              <w:szCs w:val="22"/>
            </w:rPr>
          </w:pPr>
          <w:hyperlink w:anchor="_heading=h.oe214eo52scc">
            <w:r>
              <w:rPr>
                <w:color w:val="000000"/>
              </w:rPr>
              <w:t>(a) Financial advice versus factual information</w:t>
            </w:r>
            <w:r>
              <w:rPr>
                <w:color w:val="000000"/>
              </w:rPr>
              <w:tab/>
              <w:t>30</w:t>
            </w:r>
          </w:hyperlink>
        </w:p>
        <w:p w14:paraId="22C642F8" w14:textId="77777777" w:rsidR="00A71428" w:rsidRDefault="00000000">
          <w:pPr>
            <w:widowControl w:val="0"/>
            <w:tabs>
              <w:tab w:val="right" w:pos="12000"/>
            </w:tabs>
            <w:spacing w:before="60" w:line="240" w:lineRule="auto"/>
            <w:ind w:left="1080"/>
            <w:jc w:val="left"/>
            <w:rPr>
              <w:rFonts w:ascii="Arial" w:eastAsia="Arial" w:hAnsi="Arial" w:cs="Arial"/>
              <w:color w:val="000000"/>
              <w:sz w:val="22"/>
              <w:szCs w:val="22"/>
            </w:rPr>
          </w:pPr>
          <w:hyperlink w:anchor="_heading=h.4f82inl89rc4">
            <w:r>
              <w:rPr>
                <w:color w:val="000000"/>
              </w:rPr>
              <w:t>(b) Omission of the “ordinary course of business”</w:t>
            </w:r>
            <w:r>
              <w:rPr>
                <w:color w:val="000000"/>
              </w:rPr>
              <w:tab/>
              <w:t>32</w:t>
            </w:r>
          </w:hyperlink>
        </w:p>
        <w:p w14:paraId="2B03EAE7" w14:textId="77777777" w:rsidR="00A71428" w:rsidRDefault="00000000">
          <w:pPr>
            <w:widowControl w:val="0"/>
            <w:tabs>
              <w:tab w:val="right" w:pos="12000"/>
            </w:tabs>
            <w:spacing w:before="60" w:line="240" w:lineRule="auto"/>
            <w:ind w:left="1080"/>
            <w:jc w:val="left"/>
            <w:rPr>
              <w:rFonts w:ascii="Arial" w:eastAsia="Arial" w:hAnsi="Arial" w:cs="Arial"/>
              <w:color w:val="000000"/>
              <w:sz w:val="22"/>
              <w:szCs w:val="22"/>
            </w:rPr>
          </w:pPr>
          <w:hyperlink w:anchor="_heading=h.cr0edi8u5owe">
            <w:r>
              <w:rPr>
                <w:color w:val="000000"/>
              </w:rPr>
              <w:t>(c) Clients or viewers?</w:t>
            </w:r>
            <w:r>
              <w:rPr>
                <w:color w:val="000000"/>
              </w:rPr>
              <w:tab/>
              <w:t>32</w:t>
            </w:r>
          </w:hyperlink>
        </w:p>
        <w:p w14:paraId="50576C58" w14:textId="77777777" w:rsidR="00A71428" w:rsidRDefault="00000000">
          <w:pPr>
            <w:widowControl w:val="0"/>
            <w:tabs>
              <w:tab w:val="right" w:pos="12000"/>
            </w:tabs>
            <w:spacing w:before="60" w:line="240" w:lineRule="auto"/>
            <w:ind w:left="1080"/>
            <w:jc w:val="left"/>
            <w:rPr>
              <w:rFonts w:ascii="Arial" w:eastAsia="Arial" w:hAnsi="Arial" w:cs="Arial"/>
              <w:color w:val="000000"/>
              <w:sz w:val="22"/>
              <w:szCs w:val="22"/>
            </w:rPr>
          </w:pPr>
          <w:hyperlink w:anchor="_heading=h.g9lb4nlxj71i">
            <w:r>
              <w:rPr>
                <w:color w:val="000000"/>
              </w:rPr>
              <w:t>(d) Statutory duties and the Code of Professional Conduct for Financial Advice Services</w:t>
            </w:r>
            <w:r>
              <w:rPr>
                <w:color w:val="000000"/>
              </w:rPr>
              <w:tab/>
              <w:t>34</w:t>
            </w:r>
          </w:hyperlink>
        </w:p>
        <w:p w14:paraId="44E4504C" w14:textId="77777777" w:rsidR="00A71428" w:rsidRDefault="00000000">
          <w:pPr>
            <w:widowControl w:val="0"/>
            <w:tabs>
              <w:tab w:val="right" w:pos="12000"/>
            </w:tabs>
            <w:spacing w:before="60" w:line="240" w:lineRule="auto"/>
            <w:ind w:left="1080"/>
            <w:jc w:val="left"/>
            <w:rPr>
              <w:rFonts w:ascii="Arial" w:eastAsia="Arial" w:hAnsi="Arial" w:cs="Arial"/>
              <w:color w:val="000000"/>
              <w:sz w:val="22"/>
              <w:szCs w:val="22"/>
            </w:rPr>
          </w:pPr>
          <w:hyperlink w:anchor="_heading=h.c2mq4nctdghk">
            <w:r>
              <w:rPr>
                <w:color w:val="000000"/>
              </w:rPr>
              <w:t>(e) Acquiring a Financial Advice Provider licence</w:t>
            </w:r>
            <w:r>
              <w:rPr>
                <w:color w:val="000000"/>
              </w:rPr>
              <w:tab/>
              <w:t>36</w:t>
            </w:r>
          </w:hyperlink>
        </w:p>
        <w:p w14:paraId="05E955C5" w14:textId="77777777" w:rsidR="00A71428" w:rsidRDefault="00000000">
          <w:pPr>
            <w:widowControl w:val="0"/>
            <w:tabs>
              <w:tab w:val="right" w:pos="12000"/>
            </w:tabs>
            <w:spacing w:before="60" w:line="240" w:lineRule="auto"/>
            <w:ind w:left="360"/>
            <w:jc w:val="left"/>
            <w:rPr>
              <w:rFonts w:ascii="Arial" w:eastAsia="Arial" w:hAnsi="Arial" w:cs="Arial"/>
              <w:color w:val="000000"/>
              <w:sz w:val="22"/>
              <w:szCs w:val="22"/>
            </w:rPr>
          </w:pPr>
          <w:hyperlink w:anchor="_heading=h.s788clxxuow0">
            <w:r>
              <w:rPr>
                <w:color w:val="000000"/>
              </w:rPr>
              <w:t>C Misleading and Deceptive Conduct</w:t>
            </w:r>
            <w:r>
              <w:rPr>
                <w:color w:val="000000"/>
              </w:rPr>
              <w:tab/>
              <w:t>37</w:t>
            </w:r>
          </w:hyperlink>
        </w:p>
        <w:p w14:paraId="638C1818" w14:textId="77777777" w:rsidR="00A71428" w:rsidRDefault="00000000">
          <w:pPr>
            <w:widowControl w:val="0"/>
            <w:tabs>
              <w:tab w:val="right" w:pos="12000"/>
            </w:tabs>
            <w:spacing w:before="60" w:line="240" w:lineRule="auto"/>
            <w:ind w:left="360"/>
            <w:jc w:val="left"/>
            <w:rPr>
              <w:rFonts w:ascii="Arial" w:eastAsia="Arial" w:hAnsi="Arial" w:cs="Arial"/>
              <w:color w:val="000000"/>
              <w:sz w:val="22"/>
              <w:szCs w:val="22"/>
            </w:rPr>
          </w:pPr>
          <w:hyperlink w:anchor="_heading=h.xe1vvqfa0r66">
            <w:r>
              <w:rPr>
                <w:color w:val="000000"/>
              </w:rPr>
              <w:t>D The Financial Advertising Code and the Advertising Standards Authority</w:t>
            </w:r>
            <w:r>
              <w:rPr>
                <w:color w:val="000000"/>
              </w:rPr>
              <w:tab/>
              <w:t>38</w:t>
            </w:r>
          </w:hyperlink>
        </w:p>
        <w:p w14:paraId="10852D09" w14:textId="77777777" w:rsidR="00A71428" w:rsidRDefault="00000000">
          <w:pPr>
            <w:widowControl w:val="0"/>
            <w:tabs>
              <w:tab w:val="right" w:pos="12000"/>
            </w:tabs>
            <w:spacing w:before="60" w:line="240" w:lineRule="auto"/>
            <w:jc w:val="left"/>
            <w:rPr>
              <w:rFonts w:ascii="Arial" w:eastAsia="Arial" w:hAnsi="Arial" w:cs="Arial"/>
              <w:b/>
              <w:bCs/>
              <w:color w:val="000000"/>
              <w:sz w:val="22"/>
              <w:szCs w:val="22"/>
            </w:rPr>
          </w:pPr>
          <w:hyperlink w:anchor="_heading=h.2op7ehettnod">
            <w:r>
              <w:rPr>
                <w:b/>
                <w:bCs/>
                <w:color w:val="000000"/>
              </w:rPr>
              <w:t>IV Reform and Recommendations</w:t>
            </w:r>
            <w:r>
              <w:rPr>
                <w:b/>
                <w:bCs/>
                <w:color w:val="000000"/>
              </w:rPr>
              <w:tab/>
              <w:t>40</w:t>
            </w:r>
          </w:hyperlink>
        </w:p>
        <w:p w14:paraId="601D5D5A" w14:textId="77777777" w:rsidR="00A71428" w:rsidRDefault="00000000">
          <w:pPr>
            <w:widowControl w:val="0"/>
            <w:tabs>
              <w:tab w:val="right" w:pos="12000"/>
            </w:tabs>
            <w:spacing w:before="60" w:line="240" w:lineRule="auto"/>
            <w:ind w:left="360"/>
            <w:jc w:val="left"/>
            <w:rPr>
              <w:rFonts w:ascii="Arial" w:eastAsia="Arial" w:hAnsi="Arial" w:cs="Arial"/>
              <w:color w:val="000000"/>
              <w:sz w:val="22"/>
              <w:szCs w:val="22"/>
            </w:rPr>
          </w:pPr>
          <w:hyperlink w:anchor="_heading=h.2rhwvd5ysa1k">
            <w:r>
              <w:rPr>
                <w:color w:val="000000"/>
              </w:rPr>
              <w:t>A Addressing the Finfluencer Problem</w:t>
            </w:r>
            <w:r>
              <w:rPr>
                <w:color w:val="000000"/>
              </w:rPr>
              <w:tab/>
              <w:t>41</w:t>
            </w:r>
          </w:hyperlink>
        </w:p>
        <w:p w14:paraId="6193308B" w14:textId="77777777" w:rsidR="00A71428" w:rsidRDefault="00000000">
          <w:pPr>
            <w:widowControl w:val="0"/>
            <w:tabs>
              <w:tab w:val="right" w:pos="12000"/>
            </w:tabs>
            <w:spacing w:before="60" w:line="240" w:lineRule="auto"/>
            <w:ind w:left="720"/>
            <w:jc w:val="left"/>
            <w:rPr>
              <w:rFonts w:ascii="Arial" w:eastAsia="Arial" w:hAnsi="Arial" w:cs="Arial"/>
              <w:color w:val="000000"/>
              <w:sz w:val="22"/>
              <w:szCs w:val="22"/>
            </w:rPr>
          </w:pPr>
          <w:hyperlink w:anchor="_heading=h.qf997xqf6r1j">
            <w:r>
              <w:rPr>
                <w:color w:val="000000"/>
              </w:rPr>
              <w:t>1 Enforcing the law</w:t>
            </w:r>
            <w:r>
              <w:rPr>
                <w:color w:val="000000"/>
              </w:rPr>
              <w:tab/>
              <w:t>41</w:t>
            </w:r>
          </w:hyperlink>
        </w:p>
        <w:p w14:paraId="66BA1F15" w14:textId="77777777" w:rsidR="00A71428" w:rsidRDefault="00000000">
          <w:pPr>
            <w:widowControl w:val="0"/>
            <w:tabs>
              <w:tab w:val="right" w:pos="12000"/>
            </w:tabs>
            <w:spacing w:before="60" w:line="240" w:lineRule="auto"/>
            <w:ind w:left="720"/>
            <w:jc w:val="left"/>
            <w:rPr>
              <w:rFonts w:ascii="Arial" w:eastAsia="Arial" w:hAnsi="Arial" w:cs="Arial"/>
              <w:color w:val="000000"/>
              <w:sz w:val="22"/>
              <w:szCs w:val="22"/>
            </w:rPr>
          </w:pPr>
          <w:hyperlink w:anchor="_heading=h.gb9cnqmswosx">
            <w:r>
              <w:rPr>
                <w:color w:val="000000"/>
              </w:rPr>
              <w:t>2 Adapting current regulation</w:t>
            </w:r>
            <w:r>
              <w:rPr>
                <w:color w:val="000000"/>
              </w:rPr>
              <w:tab/>
              <w:t>42</w:t>
            </w:r>
          </w:hyperlink>
        </w:p>
        <w:p w14:paraId="0D4759A0" w14:textId="77777777" w:rsidR="00A71428" w:rsidRDefault="00000000">
          <w:pPr>
            <w:widowControl w:val="0"/>
            <w:tabs>
              <w:tab w:val="right" w:pos="12000"/>
            </w:tabs>
            <w:spacing w:before="60" w:line="240" w:lineRule="auto"/>
            <w:ind w:left="1080"/>
            <w:jc w:val="left"/>
            <w:rPr>
              <w:rFonts w:ascii="Arial" w:eastAsia="Arial" w:hAnsi="Arial" w:cs="Arial"/>
              <w:color w:val="000000"/>
              <w:sz w:val="22"/>
              <w:szCs w:val="22"/>
            </w:rPr>
          </w:pPr>
          <w:hyperlink w:anchor="_heading=h.ktn4cgunqr4q">
            <w:r>
              <w:rPr>
                <w:color w:val="000000"/>
              </w:rPr>
              <w:t>(a) Influencers illegally advertising offshore gambling</w:t>
            </w:r>
            <w:r>
              <w:rPr>
                <w:color w:val="000000"/>
              </w:rPr>
              <w:tab/>
              <w:t>42</w:t>
            </w:r>
          </w:hyperlink>
        </w:p>
        <w:p w14:paraId="0545FF4F" w14:textId="77777777" w:rsidR="00A71428" w:rsidRDefault="00000000">
          <w:pPr>
            <w:widowControl w:val="0"/>
            <w:tabs>
              <w:tab w:val="right" w:pos="12000"/>
            </w:tabs>
            <w:spacing w:before="60" w:line="240" w:lineRule="auto"/>
            <w:ind w:left="1080"/>
            <w:jc w:val="left"/>
            <w:rPr>
              <w:rFonts w:ascii="Arial" w:eastAsia="Arial" w:hAnsi="Arial" w:cs="Arial"/>
              <w:color w:val="000000"/>
              <w:sz w:val="22"/>
              <w:szCs w:val="22"/>
            </w:rPr>
          </w:pPr>
          <w:hyperlink w:anchor="_heading=h.p2rrb2st3jor">
            <w:r>
              <w:rPr>
                <w:color w:val="000000"/>
              </w:rPr>
              <w:t>(b) Australia’s finfluencer “crackdown”</w:t>
            </w:r>
            <w:r>
              <w:rPr>
                <w:color w:val="000000"/>
              </w:rPr>
              <w:tab/>
              <w:t>43</w:t>
            </w:r>
          </w:hyperlink>
        </w:p>
        <w:p w14:paraId="6960254E" w14:textId="77777777" w:rsidR="00A71428" w:rsidRDefault="00000000">
          <w:pPr>
            <w:widowControl w:val="0"/>
            <w:tabs>
              <w:tab w:val="right" w:pos="12000"/>
            </w:tabs>
            <w:spacing w:before="60" w:line="240" w:lineRule="auto"/>
            <w:ind w:left="720"/>
            <w:jc w:val="left"/>
            <w:rPr>
              <w:rFonts w:ascii="Arial" w:eastAsia="Arial" w:hAnsi="Arial" w:cs="Arial"/>
              <w:color w:val="000000"/>
              <w:sz w:val="22"/>
              <w:szCs w:val="22"/>
            </w:rPr>
          </w:pPr>
          <w:hyperlink w:anchor="_heading=h.texo2ph4qlg3">
            <w:r>
              <w:rPr>
                <w:color w:val="000000"/>
              </w:rPr>
              <w:t>3 Educating consumers</w:t>
            </w:r>
            <w:r>
              <w:rPr>
                <w:color w:val="000000"/>
              </w:rPr>
              <w:tab/>
              <w:t>44</w:t>
            </w:r>
          </w:hyperlink>
        </w:p>
        <w:p w14:paraId="2884169A" w14:textId="77777777" w:rsidR="00A71428" w:rsidRDefault="00000000">
          <w:pPr>
            <w:widowControl w:val="0"/>
            <w:tabs>
              <w:tab w:val="right" w:pos="12000"/>
            </w:tabs>
            <w:spacing w:before="60" w:line="240" w:lineRule="auto"/>
            <w:ind w:left="360"/>
            <w:jc w:val="left"/>
            <w:rPr>
              <w:rFonts w:ascii="Arial" w:eastAsia="Arial" w:hAnsi="Arial" w:cs="Arial"/>
              <w:color w:val="000000"/>
              <w:sz w:val="22"/>
              <w:szCs w:val="22"/>
            </w:rPr>
          </w:pPr>
          <w:hyperlink w:anchor="_heading=h.lf4sftsya8lf">
            <w:r>
              <w:rPr>
                <w:color w:val="000000"/>
              </w:rPr>
              <w:t>B The Financial Commentary Licence</w:t>
            </w:r>
            <w:r>
              <w:rPr>
                <w:color w:val="000000"/>
              </w:rPr>
              <w:tab/>
              <w:t>45</w:t>
            </w:r>
          </w:hyperlink>
        </w:p>
        <w:p w14:paraId="6E63CFAF" w14:textId="77777777" w:rsidR="00A71428" w:rsidRDefault="00000000">
          <w:pPr>
            <w:widowControl w:val="0"/>
            <w:tabs>
              <w:tab w:val="right" w:pos="12000"/>
            </w:tabs>
            <w:spacing w:before="60" w:line="240" w:lineRule="auto"/>
            <w:ind w:left="720"/>
            <w:jc w:val="left"/>
            <w:rPr>
              <w:rFonts w:ascii="Arial" w:eastAsia="Arial" w:hAnsi="Arial" w:cs="Arial"/>
              <w:color w:val="000000"/>
              <w:sz w:val="22"/>
              <w:szCs w:val="22"/>
            </w:rPr>
          </w:pPr>
          <w:hyperlink w:anchor="_heading=h.3atjzqpbyw3n">
            <w:r>
              <w:rPr>
                <w:color w:val="000000"/>
              </w:rPr>
              <w:t>1 Entry test</w:t>
            </w:r>
            <w:r>
              <w:rPr>
                <w:color w:val="000000"/>
              </w:rPr>
              <w:tab/>
              <w:t>45</w:t>
            </w:r>
          </w:hyperlink>
        </w:p>
        <w:p w14:paraId="06236031" w14:textId="77777777" w:rsidR="00A71428" w:rsidRDefault="00000000">
          <w:pPr>
            <w:widowControl w:val="0"/>
            <w:tabs>
              <w:tab w:val="right" w:pos="12000"/>
            </w:tabs>
            <w:spacing w:before="60" w:line="240" w:lineRule="auto"/>
            <w:ind w:left="720"/>
            <w:jc w:val="left"/>
            <w:rPr>
              <w:rFonts w:ascii="Arial" w:eastAsia="Arial" w:hAnsi="Arial" w:cs="Arial"/>
              <w:color w:val="000000"/>
              <w:sz w:val="22"/>
              <w:szCs w:val="22"/>
            </w:rPr>
          </w:pPr>
          <w:hyperlink w:anchor="_heading=h.bw0xzirghtag">
            <w:r>
              <w:rPr>
                <w:color w:val="000000"/>
              </w:rPr>
              <w:t>2 Obligations</w:t>
            </w:r>
            <w:r>
              <w:rPr>
                <w:color w:val="000000"/>
              </w:rPr>
              <w:tab/>
              <w:t>47</w:t>
            </w:r>
          </w:hyperlink>
        </w:p>
        <w:p w14:paraId="162DF5C5" w14:textId="77777777" w:rsidR="00A71428" w:rsidRDefault="00000000">
          <w:pPr>
            <w:widowControl w:val="0"/>
            <w:tabs>
              <w:tab w:val="right" w:pos="12000"/>
            </w:tabs>
            <w:spacing w:before="60" w:line="240" w:lineRule="auto"/>
            <w:ind w:left="720"/>
            <w:jc w:val="left"/>
            <w:rPr>
              <w:rFonts w:ascii="Arial" w:eastAsia="Arial" w:hAnsi="Arial" w:cs="Arial"/>
              <w:color w:val="000000"/>
              <w:sz w:val="22"/>
              <w:szCs w:val="22"/>
            </w:rPr>
          </w:pPr>
          <w:hyperlink w:anchor="_heading=h.icdm4aoiji7m">
            <w:r>
              <w:rPr>
                <w:color w:val="000000"/>
              </w:rPr>
              <w:t>3 Interaction with the Financial Advice Provider licence</w:t>
            </w:r>
            <w:r>
              <w:rPr>
                <w:color w:val="000000"/>
              </w:rPr>
              <w:tab/>
              <w:t>47</w:t>
            </w:r>
          </w:hyperlink>
        </w:p>
        <w:p w14:paraId="7C3A425B" w14:textId="77777777" w:rsidR="00A71428" w:rsidRDefault="00000000">
          <w:pPr>
            <w:widowControl w:val="0"/>
            <w:tabs>
              <w:tab w:val="right" w:pos="12000"/>
            </w:tabs>
            <w:spacing w:before="60" w:line="240" w:lineRule="auto"/>
            <w:ind w:left="720"/>
            <w:jc w:val="left"/>
            <w:rPr>
              <w:rFonts w:ascii="Arial" w:eastAsia="Arial" w:hAnsi="Arial" w:cs="Arial"/>
              <w:color w:val="000000"/>
              <w:sz w:val="22"/>
              <w:szCs w:val="22"/>
            </w:rPr>
          </w:pPr>
          <w:hyperlink w:anchor="_heading=h.est09sgkpf0q">
            <w:r>
              <w:rPr>
                <w:color w:val="000000"/>
              </w:rPr>
              <w:t>4 Enforcement</w:t>
            </w:r>
            <w:r>
              <w:rPr>
                <w:color w:val="000000"/>
              </w:rPr>
              <w:tab/>
              <w:t>48</w:t>
            </w:r>
          </w:hyperlink>
        </w:p>
        <w:p w14:paraId="62109B50" w14:textId="77777777" w:rsidR="00A71428" w:rsidRDefault="00000000">
          <w:pPr>
            <w:widowControl w:val="0"/>
            <w:tabs>
              <w:tab w:val="right" w:pos="12000"/>
            </w:tabs>
            <w:spacing w:before="60" w:line="240" w:lineRule="auto"/>
            <w:ind w:left="720"/>
            <w:jc w:val="left"/>
            <w:rPr>
              <w:rFonts w:ascii="Arial" w:eastAsia="Arial" w:hAnsi="Arial" w:cs="Arial"/>
              <w:color w:val="000000"/>
              <w:sz w:val="22"/>
              <w:szCs w:val="22"/>
            </w:rPr>
          </w:pPr>
          <w:hyperlink w:anchor="_heading=h.mlgj1b95y626">
            <w:r>
              <w:rPr>
                <w:color w:val="000000"/>
              </w:rPr>
              <w:t>5 Caveats</w:t>
            </w:r>
            <w:r>
              <w:rPr>
                <w:color w:val="000000"/>
              </w:rPr>
              <w:tab/>
              <w:t>48</w:t>
            </w:r>
          </w:hyperlink>
        </w:p>
        <w:p w14:paraId="32232873" w14:textId="77777777" w:rsidR="00A71428" w:rsidRDefault="00000000">
          <w:pPr>
            <w:widowControl w:val="0"/>
            <w:tabs>
              <w:tab w:val="right" w:pos="12000"/>
            </w:tabs>
            <w:spacing w:before="60" w:line="240" w:lineRule="auto"/>
            <w:ind w:left="360"/>
            <w:jc w:val="left"/>
            <w:rPr>
              <w:rFonts w:ascii="Arial" w:eastAsia="Arial" w:hAnsi="Arial" w:cs="Arial"/>
              <w:color w:val="000000"/>
              <w:sz w:val="22"/>
              <w:szCs w:val="22"/>
            </w:rPr>
          </w:pPr>
          <w:hyperlink w:anchor="_heading=h.5242cv31x3fd">
            <w:r>
              <w:rPr>
                <w:color w:val="000000"/>
              </w:rPr>
              <w:t>C Complementary Measures</w:t>
            </w:r>
            <w:r>
              <w:rPr>
                <w:color w:val="000000"/>
              </w:rPr>
              <w:tab/>
              <w:t>49</w:t>
            </w:r>
          </w:hyperlink>
        </w:p>
        <w:p w14:paraId="09D39C32" w14:textId="77777777" w:rsidR="00A71428" w:rsidRDefault="00000000">
          <w:pPr>
            <w:widowControl w:val="0"/>
            <w:tabs>
              <w:tab w:val="right" w:pos="12000"/>
            </w:tabs>
            <w:spacing w:before="60" w:line="240" w:lineRule="auto"/>
            <w:ind w:left="720"/>
            <w:jc w:val="left"/>
            <w:rPr>
              <w:rFonts w:ascii="Arial" w:eastAsia="Arial" w:hAnsi="Arial" w:cs="Arial"/>
              <w:color w:val="000000"/>
              <w:sz w:val="22"/>
              <w:szCs w:val="22"/>
            </w:rPr>
          </w:pPr>
          <w:hyperlink w:anchor="_heading=h.pa3fujo2grjm">
            <w:r>
              <w:rPr>
                <w:color w:val="000000"/>
              </w:rPr>
              <w:t>1 Platform disclosure</w:t>
            </w:r>
            <w:r>
              <w:rPr>
                <w:color w:val="000000"/>
              </w:rPr>
              <w:tab/>
              <w:t>49</w:t>
            </w:r>
          </w:hyperlink>
        </w:p>
        <w:p w14:paraId="161BEA88" w14:textId="77777777" w:rsidR="00A71428" w:rsidRDefault="00000000">
          <w:pPr>
            <w:widowControl w:val="0"/>
            <w:tabs>
              <w:tab w:val="right" w:pos="12000"/>
            </w:tabs>
            <w:spacing w:before="60" w:line="240" w:lineRule="auto"/>
            <w:ind w:left="720"/>
            <w:jc w:val="left"/>
            <w:rPr>
              <w:rFonts w:ascii="Arial" w:eastAsia="Arial" w:hAnsi="Arial" w:cs="Arial"/>
              <w:color w:val="000000"/>
              <w:sz w:val="22"/>
              <w:szCs w:val="22"/>
            </w:rPr>
          </w:pPr>
          <w:hyperlink w:anchor="_heading=h.vnsjpx5x9dlv">
            <w:r>
              <w:rPr>
                <w:color w:val="000000"/>
              </w:rPr>
              <w:t>2 Finfluencer education</w:t>
            </w:r>
            <w:r>
              <w:rPr>
                <w:color w:val="000000"/>
              </w:rPr>
              <w:tab/>
              <w:t>50</w:t>
            </w:r>
          </w:hyperlink>
        </w:p>
        <w:p w14:paraId="48011801" w14:textId="77777777" w:rsidR="00A71428" w:rsidRDefault="00000000">
          <w:pPr>
            <w:widowControl w:val="0"/>
            <w:tabs>
              <w:tab w:val="right" w:pos="12000"/>
            </w:tabs>
            <w:spacing w:before="60" w:line="240" w:lineRule="auto"/>
            <w:jc w:val="left"/>
            <w:rPr>
              <w:rFonts w:ascii="Arial" w:eastAsia="Arial" w:hAnsi="Arial" w:cs="Arial"/>
              <w:b/>
              <w:bCs/>
              <w:color w:val="000000"/>
              <w:sz w:val="22"/>
              <w:szCs w:val="22"/>
            </w:rPr>
          </w:pPr>
          <w:hyperlink w:anchor="_heading=h.7nugvlh9n8tn">
            <w:r>
              <w:rPr>
                <w:b/>
                <w:bCs/>
                <w:color w:val="000000"/>
              </w:rPr>
              <w:t>V Conclusion</w:t>
            </w:r>
            <w:r>
              <w:rPr>
                <w:b/>
                <w:bCs/>
                <w:color w:val="000000"/>
              </w:rPr>
              <w:tab/>
              <w:t>51</w:t>
            </w:r>
          </w:hyperlink>
        </w:p>
        <w:p w14:paraId="6D02CBD5" w14:textId="77777777" w:rsidR="00A71428" w:rsidRDefault="00000000">
          <w:pPr>
            <w:widowControl w:val="0"/>
            <w:tabs>
              <w:tab w:val="right" w:pos="12000"/>
            </w:tabs>
            <w:spacing w:before="60" w:line="240" w:lineRule="auto"/>
            <w:jc w:val="left"/>
            <w:rPr>
              <w:rFonts w:ascii="Arial" w:eastAsia="Arial" w:hAnsi="Arial" w:cs="Arial"/>
              <w:b/>
              <w:bCs/>
              <w:color w:val="000000"/>
              <w:sz w:val="22"/>
              <w:szCs w:val="22"/>
            </w:rPr>
          </w:pPr>
          <w:hyperlink w:anchor="_heading=h.5xyobc4evpiy">
            <w:r>
              <w:rPr>
                <w:b/>
                <w:bCs/>
                <w:color w:val="000000"/>
              </w:rPr>
              <w:t>Bibliography</w:t>
            </w:r>
            <w:r>
              <w:rPr>
                <w:b/>
                <w:bCs/>
                <w:color w:val="000000"/>
              </w:rPr>
              <w:tab/>
              <w:t>53</w:t>
            </w:r>
          </w:hyperlink>
        </w:p>
        <w:p w14:paraId="1F5292AE" w14:textId="77777777" w:rsidR="00A71428" w:rsidRDefault="00000000">
          <w:pPr>
            <w:widowControl w:val="0"/>
            <w:tabs>
              <w:tab w:val="right" w:pos="12000"/>
            </w:tabs>
            <w:spacing w:before="60" w:line="240" w:lineRule="auto"/>
            <w:ind w:left="360"/>
            <w:jc w:val="left"/>
            <w:rPr>
              <w:rFonts w:ascii="Arial" w:eastAsia="Arial" w:hAnsi="Arial" w:cs="Arial"/>
              <w:color w:val="000000"/>
              <w:sz w:val="22"/>
              <w:szCs w:val="22"/>
            </w:rPr>
          </w:pPr>
          <w:hyperlink w:anchor="_heading=h.yb9p9ljany5">
            <w:r>
              <w:rPr>
                <w:color w:val="000000"/>
              </w:rPr>
              <w:t>A Primary Sources</w:t>
            </w:r>
            <w:r>
              <w:rPr>
                <w:color w:val="000000"/>
              </w:rPr>
              <w:tab/>
              <w:t>53</w:t>
            </w:r>
          </w:hyperlink>
        </w:p>
        <w:p w14:paraId="3DD1F10E" w14:textId="77777777" w:rsidR="00A71428" w:rsidRDefault="00000000">
          <w:pPr>
            <w:widowControl w:val="0"/>
            <w:tabs>
              <w:tab w:val="right" w:pos="12000"/>
            </w:tabs>
            <w:spacing w:before="60" w:line="240" w:lineRule="auto"/>
            <w:ind w:left="720"/>
            <w:jc w:val="left"/>
            <w:rPr>
              <w:rFonts w:ascii="Arial" w:eastAsia="Arial" w:hAnsi="Arial" w:cs="Arial"/>
              <w:color w:val="000000"/>
              <w:sz w:val="22"/>
              <w:szCs w:val="22"/>
            </w:rPr>
          </w:pPr>
          <w:hyperlink w:anchor="_heading=h.iosky24u6ypx">
            <w:r>
              <w:rPr>
                <w:color w:val="000000"/>
              </w:rPr>
              <w:t>1 Legislation</w:t>
            </w:r>
            <w:r>
              <w:rPr>
                <w:color w:val="000000"/>
              </w:rPr>
              <w:tab/>
              <w:t>53</w:t>
            </w:r>
          </w:hyperlink>
        </w:p>
        <w:p w14:paraId="3A1989BE" w14:textId="77777777" w:rsidR="00A71428" w:rsidRDefault="00000000">
          <w:pPr>
            <w:widowControl w:val="0"/>
            <w:tabs>
              <w:tab w:val="right" w:pos="12000"/>
            </w:tabs>
            <w:spacing w:before="60" w:line="240" w:lineRule="auto"/>
            <w:ind w:left="720"/>
            <w:jc w:val="left"/>
            <w:rPr>
              <w:rFonts w:ascii="Arial" w:eastAsia="Arial" w:hAnsi="Arial" w:cs="Arial"/>
              <w:color w:val="000000"/>
              <w:sz w:val="22"/>
              <w:szCs w:val="22"/>
            </w:rPr>
          </w:pPr>
          <w:hyperlink w:anchor="_heading=h.it3crkbfg68w">
            <w:r>
              <w:rPr>
                <w:color w:val="000000"/>
              </w:rPr>
              <w:t>2 Cases</w:t>
            </w:r>
            <w:r>
              <w:rPr>
                <w:color w:val="000000"/>
              </w:rPr>
              <w:tab/>
              <w:t>53</w:t>
            </w:r>
          </w:hyperlink>
        </w:p>
        <w:p w14:paraId="00C607D5" w14:textId="77777777" w:rsidR="00A71428" w:rsidRDefault="00000000">
          <w:pPr>
            <w:widowControl w:val="0"/>
            <w:tabs>
              <w:tab w:val="right" w:pos="12000"/>
            </w:tabs>
            <w:spacing w:before="60" w:line="240" w:lineRule="auto"/>
            <w:ind w:left="360"/>
            <w:jc w:val="left"/>
            <w:rPr>
              <w:rFonts w:ascii="Arial" w:eastAsia="Arial" w:hAnsi="Arial" w:cs="Arial"/>
              <w:color w:val="000000"/>
              <w:sz w:val="22"/>
              <w:szCs w:val="22"/>
            </w:rPr>
          </w:pPr>
          <w:hyperlink w:anchor="_heading=h.o4xj91xsvq2k">
            <w:r>
              <w:rPr>
                <w:color w:val="000000"/>
              </w:rPr>
              <w:t>B Secondary Sources</w:t>
            </w:r>
            <w:r>
              <w:rPr>
                <w:color w:val="000000"/>
              </w:rPr>
              <w:tab/>
              <w:t>54</w:t>
            </w:r>
          </w:hyperlink>
        </w:p>
        <w:p w14:paraId="482726A2" w14:textId="77777777" w:rsidR="00A71428" w:rsidRDefault="00000000">
          <w:pPr>
            <w:widowControl w:val="0"/>
            <w:tabs>
              <w:tab w:val="right" w:pos="12000"/>
            </w:tabs>
            <w:spacing w:before="60" w:line="240" w:lineRule="auto"/>
            <w:ind w:left="360"/>
            <w:jc w:val="left"/>
            <w:rPr>
              <w:rFonts w:ascii="Arial" w:eastAsia="Arial" w:hAnsi="Arial" w:cs="Arial"/>
              <w:color w:val="000000"/>
              <w:sz w:val="22"/>
              <w:szCs w:val="22"/>
            </w:rPr>
          </w:pPr>
          <w:hyperlink w:anchor="_heading=h.mzqf17mnhwri">
            <w:r>
              <w:rPr>
                <w:color w:val="000000"/>
              </w:rPr>
              <w:t>1 Government publications</w:t>
            </w:r>
            <w:r>
              <w:rPr>
                <w:color w:val="000000"/>
              </w:rPr>
              <w:tab/>
              <w:t>54</w:t>
            </w:r>
          </w:hyperlink>
        </w:p>
        <w:p w14:paraId="2101EDCB" w14:textId="77777777" w:rsidR="00A71428" w:rsidRDefault="00000000">
          <w:pPr>
            <w:widowControl w:val="0"/>
            <w:tabs>
              <w:tab w:val="right" w:pos="12000"/>
            </w:tabs>
            <w:spacing w:before="60" w:line="240" w:lineRule="auto"/>
            <w:ind w:left="720"/>
            <w:jc w:val="left"/>
            <w:rPr>
              <w:rFonts w:ascii="Arial" w:eastAsia="Arial" w:hAnsi="Arial" w:cs="Arial"/>
              <w:color w:val="000000"/>
              <w:sz w:val="22"/>
              <w:szCs w:val="22"/>
            </w:rPr>
          </w:pPr>
          <w:hyperlink w:anchor="_heading=h.tl7xtwxknckw">
            <w:r>
              <w:rPr>
                <w:color w:val="000000"/>
              </w:rPr>
              <w:t>2 Industry body publications</w:t>
            </w:r>
            <w:r>
              <w:rPr>
                <w:color w:val="000000"/>
              </w:rPr>
              <w:tab/>
              <w:t>56</w:t>
            </w:r>
          </w:hyperlink>
        </w:p>
        <w:p w14:paraId="620C5AFD" w14:textId="77777777" w:rsidR="00A71428" w:rsidRDefault="00000000">
          <w:pPr>
            <w:widowControl w:val="0"/>
            <w:tabs>
              <w:tab w:val="right" w:pos="12000"/>
            </w:tabs>
            <w:spacing w:before="60" w:line="240" w:lineRule="auto"/>
            <w:ind w:left="720"/>
            <w:jc w:val="left"/>
            <w:rPr>
              <w:rFonts w:ascii="Arial" w:eastAsia="Arial" w:hAnsi="Arial" w:cs="Arial"/>
              <w:color w:val="000000"/>
              <w:sz w:val="22"/>
              <w:szCs w:val="22"/>
            </w:rPr>
          </w:pPr>
          <w:hyperlink w:anchor="_heading=h.t3er7kyehj76">
            <w:r>
              <w:rPr>
                <w:color w:val="000000"/>
              </w:rPr>
              <w:t>3 Journal articles</w:t>
            </w:r>
            <w:r>
              <w:rPr>
                <w:color w:val="000000"/>
              </w:rPr>
              <w:tab/>
              <w:t>57</w:t>
            </w:r>
          </w:hyperlink>
        </w:p>
        <w:p w14:paraId="0F0B7860" w14:textId="77777777" w:rsidR="00A71428" w:rsidRDefault="00000000">
          <w:pPr>
            <w:widowControl w:val="0"/>
            <w:tabs>
              <w:tab w:val="right" w:pos="12000"/>
            </w:tabs>
            <w:spacing w:before="60" w:line="240" w:lineRule="auto"/>
            <w:ind w:left="720"/>
            <w:jc w:val="left"/>
            <w:rPr>
              <w:rFonts w:ascii="Arial" w:eastAsia="Arial" w:hAnsi="Arial" w:cs="Arial"/>
              <w:color w:val="000000"/>
              <w:sz w:val="22"/>
              <w:szCs w:val="22"/>
            </w:rPr>
          </w:pPr>
          <w:hyperlink w:anchor="_heading=h.qvysai76ni0f">
            <w:r>
              <w:rPr>
                <w:color w:val="000000"/>
              </w:rPr>
              <w:t>4 Books</w:t>
            </w:r>
            <w:r>
              <w:rPr>
                <w:color w:val="000000"/>
              </w:rPr>
              <w:tab/>
              <w:t>59</w:t>
            </w:r>
          </w:hyperlink>
        </w:p>
        <w:p w14:paraId="4615B3E5" w14:textId="77777777" w:rsidR="00A71428" w:rsidRDefault="00000000">
          <w:pPr>
            <w:widowControl w:val="0"/>
            <w:tabs>
              <w:tab w:val="right" w:pos="12000"/>
            </w:tabs>
            <w:spacing w:before="60" w:line="240" w:lineRule="auto"/>
            <w:ind w:left="720"/>
            <w:jc w:val="left"/>
            <w:rPr>
              <w:rFonts w:ascii="Arial" w:eastAsia="Arial" w:hAnsi="Arial" w:cs="Arial"/>
              <w:color w:val="000000"/>
              <w:sz w:val="22"/>
              <w:szCs w:val="22"/>
            </w:rPr>
          </w:pPr>
          <w:hyperlink w:anchor="_heading=h.2cvfgbkxr9j2">
            <w:r>
              <w:rPr>
                <w:color w:val="000000"/>
              </w:rPr>
              <w:t>5 News articles</w:t>
            </w:r>
            <w:r>
              <w:rPr>
                <w:color w:val="000000"/>
              </w:rPr>
              <w:tab/>
              <w:t>59</w:t>
            </w:r>
          </w:hyperlink>
        </w:p>
        <w:p w14:paraId="49A33ACC" w14:textId="77777777" w:rsidR="00A71428" w:rsidRDefault="00000000">
          <w:pPr>
            <w:widowControl w:val="0"/>
            <w:tabs>
              <w:tab w:val="right" w:pos="12000"/>
            </w:tabs>
            <w:spacing w:before="60" w:line="240" w:lineRule="auto"/>
            <w:ind w:left="720"/>
            <w:jc w:val="left"/>
            <w:rPr>
              <w:rFonts w:ascii="Arial" w:eastAsia="Arial" w:hAnsi="Arial" w:cs="Arial"/>
              <w:color w:val="000000"/>
              <w:sz w:val="22"/>
              <w:szCs w:val="22"/>
            </w:rPr>
          </w:pPr>
          <w:hyperlink w:anchor="_heading=h.69c9w1enr4vk">
            <w:r>
              <w:rPr>
                <w:color w:val="000000"/>
              </w:rPr>
              <w:t>6 Internet materials</w:t>
            </w:r>
            <w:r>
              <w:rPr>
                <w:color w:val="000000"/>
              </w:rPr>
              <w:tab/>
              <w:t>62</w:t>
            </w:r>
          </w:hyperlink>
          <w:r>
            <w:fldChar w:fldCharType="end"/>
          </w:r>
        </w:p>
      </w:sdtContent>
    </w:sdt>
    <w:p w14:paraId="16137F73" w14:textId="77777777" w:rsidR="00A71428" w:rsidRDefault="00A71428">
      <w:pPr>
        <w:pStyle w:val="Heading1"/>
        <w:spacing w:line="132" w:lineRule="auto"/>
        <w:ind w:left="0" w:firstLine="0"/>
      </w:pPr>
      <w:bookmarkStart w:id="6" w:name="_heading=h.y2v9umzbqtxi" w:colFirst="0" w:colLast="0"/>
      <w:bookmarkEnd w:id="6"/>
    </w:p>
    <w:p w14:paraId="050D225E" w14:textId="77777777" w:rsidR="00A71428" w:rsidRDefault="00000000">
      <w:pPr>
        <w:pStyle w:val="Heading1"/>
        <w:spacing w:line="132" w:lineRule="auto"/>
        <w:ind w:left="1080" w:firstLine="360"/>
      </w:pPr>
      <w:bookmarkStart w:id="7" w:name="_heading=h.r2px645mpblg" w:colFirst="0" w:colLast="0"/>
      <w:bookmarkEnd w:id="7"/>
      <w:r>
        <w:br w:type="page"/>
      </w:r>
    </w:p>
    <w:p w14:paraId="63EC1D7A" w14:textId="77777777" w:rsidR="00A71428" w:rsidRDefault="00000000">
      <w:pPr>
        <w:pStyle w:val="Heading1"/>
        <w:spacing w:line="132" w:lineRule="auto"/>
        <w:ind w:left="1080" w:firstLine="360"/>
      </w:pPr>
      <w:bookmarkStart w:id="8" w:name="_heading=h.za4elocqjf7z" w:colFirst="0" w:colLast="0"/>
      <w:bookmarkEnd w:id="8"/>
      <w:r>
        <w:lastRenderedPageBreak/>
        <w:t>Abstract</w:t>
      </w:r>
    </w:p>
    <w:p w14:paraId="7433CD66" w14:textId="77777777" w:rsidR="00A71428" w:rsidRDefault="00000000">
      <w:r>
        <w:t>Aotearoa New Zealand's financial advice laws fail to regulate “finfluencers”, otherwise known as social media personalities who provide regulated financial advice online. The Financial Markets Authority in 2021 was the first regulator globally to affirm that finfluencers operated under the existing financial advice regime. Despite this statement of regulatory oversight, finfluencers continue to operate in New Zealand with little accountability, with many benefiting from promoting dubious financial products. A significant financial advice gap exacerbates this outcome, where high costs discourage consumers from seeking professional advice. This dissertation argues that New Zealand’s existing regime was designed around a proximate, one-to-one client relationship and is poorly suited to fulfilling its consumer protection purposes. In order to address the harms resulting from online financial advice, this dissertation argues in favour of implementing a Financial Commentary Licence, anchored in the Financial Markets Conduct Act 2013. This distinct licence creates accountability for those who profit from providing financial advice online while maintaining an accessible source of financial education for consumers.</w:t>
      </w:r>
    </w:p>
    <w:p w14:paraId="025BBA78" w14:textId="77777777" w:rsidR="00A71428" w:rsidRDefault="00A71428"/>
    <w:p w14:paraId="140D3D2D" w14:textId="77777777" w:rsidR="00A71428" w:rsidRDefault="00000000">
      <w:pPr>
        <w:pStyle w:val="Heading1"/>
      </w:pPr>
      <w:bookmarkStart w:id="9" w:name="_heading=h.1602vqjovhq0" w:colFirst="0" w:colLast="0"/>
      <w:bookmarkEnd w:id="9"/>
      <w:r>
        <w:lastRenderedPageBreak/>
        <w:br w:type="page"/>
      </w:r>
    </w:p>
    <w:p w14:paraId="5AF0A7F0" w14:textId="77777777" w:rsidR="00A71428" w:rsidRDefault="00000000">
      <w:pPr>
        <w:pStyle w:val="Heading1"/>
      </w:pPr>
      <w:bookmarkStart w:id="10" w:name="_heading=h.9mrq5fo9pj5o" w:colFirst="0" w:colLast="0"/>
      <w:bookmarkEnd w:id="10"/>
      <w:r>
        <w:lastRenderedPageBreak/>
        <w:t>Acknowledgements</w:t>
      </w:r>
    </w:p>
    <w:p w14:paraId="5D6782B2" w14:textId="77777777" w:rsidR="00A71428" w:rsidRDefault="00000000">
      <w:r>
        <w:t>My gratitude goes to my mum and dad for inspiring me to become the person I am today. To my brother Brendon, for your calm presence and the afternoons spent writing in your architecture studio. To my partner Harry, for your unwavering moral support. To my best friend Claire, for your compassion and cheerleading during the late nights. And not least of all, to Dr Jodi Gardner for opening my mind to bolder possibilities.</w:t>
      </w:r>
    </w:p>
    <w:p w14:paraId="670DBEB4" w14:textId="77777777" w:rsidR="00A71428" w:rsidRDefault="00A71428"/>
    <w:p w14:paraId="1559E9A4" w14:textId="77777777" w:rsidR="00A71428" w:rsidRDefault="00000000">
      <w:r>
        <w:t xml:space="preserve">I also want to thank the people whose perspectives were invaluable to the development of this dissertation: Dr Akshaya Kamalnath, Matt Bartlett, James Rosendale and Phoebe Tan. </w:t>
      </w:r>
    </w:p>
    <w:p w14:paraId="356501C9" w14:textId="77777777" w:rsidR="00A71428" w:rsidRDefault="00A71428"/>
    <w:p w14:paraId="7F024140" w14:textId="77777777" w:rsidR="00A71428" w:rsidRDefault="00000000">
      <w:r>
        <w:t xml:space="preserve">Finally, thank you to my village who have made my Law (Honours!) and Global Studies degrees possible. I’m grateful beyond words. </w:t>
      </w:r>
    </w:p>
    <w:p w14:paraId="148E2E29" w14:textId="77777777" w:rsidR="00A71428" w:rsidRDefault="00A71428"/>
    <w:p w14:paraId="2D8DA2C1" w14:textId="77777777" w:rsidR="00A71428" w:rsidRDefault="00000000">
      <w:pPr>
        <w:pStyle w:val="Heading1"/>
      </w:pPr>
      <w:bookmarkStart w:id="11" w:name="_heading=h.185gpxr3fltr" w:colFirst="0" w:colLast="0"/>
      <w:bookmarkEnd w:id="11"/>
      <w:r>
        <w:lastRenderedPageBreak/>
        <w:br w:type="page"/>
      </w:r>
    </w:p>
    <w:p w14:paraId="2DA98102" w14:textId="77777777" w:rsidR="00A71428" w:rsidRDefault="00000000">
      <w:pPr>
        <w:pStyle w:val="Heading1"/>
      </w:pPr>
      <w:bookmarkStart w:id="12" w:name="_heading=h.klrvuc3gfbh2" w:colFirst="0" w:colLast="0"/>
      <w:bookmarkEnd w:id="12"/>
      <w:r>
        <w:lastRenderedPageBreak/>
        <w:t>I Introduction</w:t>
      </w:r>
    </w:p>
    <w:p w14:paraId="5AC6FAB9" w14:textId="77777777" w:rsidR="00A71428" w:rsidRDefault="00000000">
      <w:r>
        <w:t>On paper, New Zealand’s financial advice laws stringently regulate the provision of financial advice. In practice, people giving financial advice on social media have induced New Zealanders to be victims of pump-and-dump schemes,</w:t>
      </w:r>
      <w:r>
        <w:rPr>
          <w:vertAlign w:val="superscript"/>
        </w:rPr>
        <w:footnoteReference w:id="1"/>
      </w:r>
      <w:r>
        <w:t xml:space="preserve"> funnel their money into scam projects,</w:t>
      </w:r>
      <w:r>
        <w:rPr>
          <w:vertAlign w:val="superscript"/>
        </w:rPr>
        <w:footnoteReference w:id="2"/>
      </w:r>
      <w:r>
        <w:t xml:space="preserve"> and make early withdrawals from their Kiwisaver.</w:t>
      </w:r>
      <w:r>
        <w:rPr>
          <w:vertAlign w:val="superscript"/>
        </w:rPr>
        <w:footnoteReference w:id="3"/>
      </w:r>
      <w:r>
        <w:t xml:space="preserve"> The Financial Markets Authority (</w:t>
      </w:r>
      <w:r>
        <w:rPr>
          <w:i/>
          <w:iCs/>
        </w:rPr>
        <w:t>FMA</w:t>
      </w:r>
      <w:r>
        <w:t>), New Zealand’s regulator for financial markets, affirmed in 2021 that people giving financial advice online operate within the scope of the Financial Markets Conduct Act 2013 (</w:t>
      </w:r>
      <w:r>
        <w:rPr>
          <w:i/>
          <w:iCs/>
        </w:rPr>
        <w:t>FMC Act</w:t>
      </w:r>
      <w:r>
        <w:t>).</w:t>
      </w:r>
      <w:r>
        <w:rPr>
          <w:vertAlign w:val="superscript"/>
        </w:rPr>
        <w:footnoteReference w:id="4"/>
      </w:r>
      <w:r>
        <w:t xml:space="preserve"> However, the prevalence of consumer harm suggests that New Zealand’s financial advice laws are not fit for purpose. Financial influencers, also known as “finfluencers,” face minimal oversight and accountability. While both finfluencers and professional financial advisers are capable of causing severe financial harm, the onerous regulatory overhead of professional financial advisers sits in stark contrast to finfluencers freely providing regulated financial advice.</w:t>
      </w:r>
      <w:r>
        <w:rPr>
          <w:vertAlign w:val="superscript"/>
        </w:rPr>
        <w:footnoteReference w:id="5"/>
      </w:r>
    </w:p>
    <w:p w14:paraId="1E8D729C" w14:textId="77777777" w:rsidR="00A71428" w:rsidRDefault="00A71428"/>
    <w:p w14:paraId="337297A0" w14:textId="77777777" w:rsidR="00A71428" w:rsidRDefault="00000000">
      <w:r>
        <w:t xml:space="preserve">This dissertation examines why New Zealand’s financial advice regime is poorly fitted to finfluencers who are responding to New Zealanders’ demand for accessible and high-quality financial advice. It proposes a distinct “Financial Commentary Licence” tailored to finfluencers’ diffuse relationship with their viewers to hold them to ethical, professional, and conduct standards. Part II contextualises finfluencers within the online personal finance ecosystem and the regulated financial advisory industry. Part III applies New Zealand’s regulatory framework to finfluencers to demonstrate that their compliance with regulation, centred on a professional-to-client relationship, is not possible. Part IV proposes a finfluencer-specific licence, using two case studies of Australia’s clampdown on financial services licensing requirements for Australian finfluencers </w:t>
      </w:r>
      <w:r>
        <w:lastRenderedPageBreak/>
        <w:t>and New Zealand’s difficulty in restraining gambling promotion among influencers as justification. Part V concludes.</w:t>
      </w:r>
    </w:p>
    <w:p w14:paraId="4E2F9D81" w14:textId="77777777" w:rsidR="00A71428" w:rsidRDefault="00A71428"/>
    <w:p w14:paraId="13BA498A" w14:textId="77777777" w:rsidR="00A71428" w:rsidRDefault="00000000">
      <w:pPr>
        <w:pStyle w:val="Heading1"/>
      </w:pPr>
      <w:bookmarkStart w:id="13" w:name="_heading=h.q4y5g272uv3x" w:colFirst="0" w:colLast="0"/>
      <w:bookmarkEnd w:id="13"/>
      <w:r>
        <w:t xml:space="preserve">II Finfluencers and the Framework Behind Financial Advice </w:t>
      </w:r>
    </w:p>
    <w:p w14:paraId="6CA3E748" w14:textId="77777777" w:rsidR="00A71428" w:rsidRDefault="00000000">
      <w:r>
        <w:t>This section examines how finfluencers are responding to a consumer demand for their commentary. It applies the rationales behind financial advice laws to finfluencer activity to justify their regulation.</w:t>
      </w:r>
    </w:p>
    <w:p w14:paraId="66EC9F2E" w14:textId="77777777" w:rsidR="00A71428" w:rsidRDefault="00A71428"/>
    <w:p w14:paraId="1EA38274" w14:textId="77777777" w:rsidR="00A71428" w:rsidRDefault="00000000">
      <w:pPr>
        <w:pStyle w:val="Heading2"/>
      </w:pPr>
      <w:bookmarkStart w:id="14" w:name="_heading=h.tgx2t8w36p9b" w:colFirst="0" w:colLast="0"/>
      <w:bookmarkEnd w:id="14"/>
      <w:r>
        <w:t>A What are Finfluencers?</w:t>
      </w:r>
    </w:p>
    <w:p w14:paraId="01D04E59" w14:textId="77777777" w:rsidR="00A71428" w:rsidRDefault="00000000">
      <w:r>
        <w:t>A “finfluencer” is a portmanteau of “financial influencer”; an “influencer” being a well-known person on social media compensated for persuading viewers to follow their recommendations.</w:t>
      </w:r>
      <w:r>
        <w:rPr>
          <w:vertAlign w:val="superscript"/>
        </w:rPr>
        <w:footnoteReference w:id="6"/>
      </w:r>
      <w:r>
        <w:t xml:space="preserve"> Finfluencers simplify complex financial topics into entertaining and digestible formats through images and short-form video, often drawing on pop culture, shared motivations and personal experience to garner engagement.</w:t>
      </w:r>
      <w:r>
        <w:rPr>
          <w:vertAlign w:val="superscript"/>
        </w:rPr>
        <w:footnoteReference w:id="7"/>
      </w:r>
      <w:r>
        <w:t xml:space="preserve"> Viewers can find answers to any financial question online, and finfluencers provide answers in novel ways; from explaining short-selling by pantomiming borrowing an iPhone to sell it and repurchasing it a year later at a lower price to pocket the difference, to repackaging the concept of saving loose change as “cash-stuffing”.</w:t>
      </w:r>
      <w:r>
        <w:rPr>
          <w:vertAlign w:val="superscript"/>
        </w:rPr>
        <w:footnoteReference w:id="8"/>
      </w:r>
      <w:r>
        <w:t xml:space="preserve"> They have likely increased consumer participation in financial markets as financial advice helps consumers make informed decisions.</w:t>
      </w:r>
      <w:r>
        <w:rPr>
          <w:vertAlign w:val="superscript"/>
        </w:rPr>
        <w:footnoteReference w:id="9"/>
      </w:r>
      <w:r>
        <w:t xml:space="preserve"> </w:t>
      </w:r>
    </w:p>
    <w:p w14:paraId="2F5A5445" w14:textId="77777777" w:rsidR="00A71428" w:rsidRDefault="00A71428"/>
    <w:p w14:paraId="375FADCA" w14:textId="77777777" w:rsidR="00A71428" w:rsidRDefault="00000000">
      <w:r>
        <w:lastRenderedPageBreak/>
        <w:t>Viewers may build parasocial relationships with finfluencers as if they were a friend or trusted adviser.</w:t>
      </w:r>
      <w:r>
        <w:rPr>
          <w:vertAlign w:val="superscript"/>
        </w:rPr>
        <w:footnoteReference w:id="10"/>
      </w:r>
      <w:r>
        <w:t xml:space="preserve"> Finfluencers contextualise implementing financial advice with their lived experiences to connect with their audience.</w:t>
      </w:r>
      <w:r>
        <w:rPr>
          <w:vertAlign w:val="superscript"/>
        </w:rPr>
        <w:footnoteReference w:id="11"/>
      </w:r>
      <w:r>
        <w:t xml:space="preserve"> For example, one finfluencer begins, “Especially around the holidays [I had] that ‘keeping up with the Joneses’ mentality … just [realise] that it’s better to be paying off your debt or getting into a financially sound position rather than putting everything on a credit card and starting off the year in debt”.</w:t>
      </w:r>
      <w:r>
        <w:rPr>
          <w:vertAlign w:val="superscript"/>
        </w:rPr>
        <w:footnoteReference w:id="12"/>
      </w:r>
      <w:r>
        <w:t xml:space="preserve"> Finfluencers can respond to their commenters through comments, direct messages and live Q&amp;A sessions which further empower viewers to be “active participants” in their financial journey.</w:t>
      </w:r>
      <w:r>
        <w:rPr>
          <w:vertAlign w:val="superscript"/>
        </w:rPr>
        <w:footnoteReference w:id="13"/>
      </w:r>
      <w:r>
        <w:t xml:space="preserve"> Unlike older generations, internet use in childhood normalised younger generations to trust strangers on the internet.</w:t>
      </w:r>
      <w:r>
        <w:rPr>
          <w:vertAlign w:val="superscript"/>
        </w:rPr>
        <w:footnoteReference w:id="14"/>
      </w:r>
      <w:r>
        <w:t xml:space="preserve"> This phenomenon is supported by 39% of New Zealanders aged 18 to 24 surveyed by the Financial Markets Authority in 2022, who stated they trusted YouTube as a source of financial advice.</w:t>
      </w:r>
      <w:r>
        <w:rPr>
          <w:vertAlign w:val="superscript"/>
        </w:rPr>
        <w:footnoteReference w:id="15"/>
      </w:r>
      <w:r>
        <w:t xml:space="preserve"> </w:t>
      </w:r>
    </w:p>
    <w:p w14:paraId="6C9AFD3D" w14:textId="77777777" w:rsidR="00A71428" w:rsidRDefault="00A71428"/>
    <w:p w14:paraId="10F20BB8" w14:textId="77777777" w:rsidR="00A71428" w:rsidRDefault="00000000">
      <w:r>
        <w:t>Finfluencers fall into one of two categories in New Zealand: financial advisers and unlicensed finfluencers.</w:t>
      </w:r>
      <w:r>
        <w:rPr>
          <w:vertAlign w:val="superscript"/>
        </w:rPr>
        <w:footnoteReference w:id="16"/>
      </w:r>
      <w:r>
        <w:t xml:space="preserve"> Only the latter group is of regulatory concern as the FMA-issued Financial Advice Provider licence restrains professional financial advisers from falling short of their statutory duties. By contrast, unlicensed finfluencers tend to be ordinary people or celebrities with sizable followings without a background in finance. For example, as of November 2025, popular New Zealand influencers who discuss money include Simran Kaur of the </w:t>
      </w:r>
      <w:r>
        <w:rPr>
          <w:i/>
          <w:iCs/>
        </w:rPr>
        <w:t>Friends That Invest</w:t>
      </w:r>
      <w:r>
        <w:t xml:space="preserve"> podcast with 674,000 followers on Instagram, and Te Kahukura Boynton, also known as the </w:t>
      </w:r>
      <w:r>
        <w:rPr>
          <w:i/>
          <w:iCs/>
        </w:rPr>
        <w:t>Māori Millionaire</w:t>
      </w:r>
      <w:r>
        <w:t xml:space="preserve"> with 31,700 followers. Simran Kaur was an optometrist and Te Kahukura Boynton is </w:t>
      </w:r>
      <w:r>
        <w:lastRenderedPageBreak/>
        <w:t>a current law student.</w:t>
      </w:r>
      <w:r>
        <w:rPr>
          <w:vertAlign w:val="superscript"/>
        </w:rPr>
        <w:footnoteReference w:id="17"/>
      </w:r>
      <w:r>
        <w:t xml:space="preserve"> In Australia, licensed finfluencers include Queenie Tan with 168,000 followers, who was a marketing manager, and Natasha Etschmann with 184,000 followers, who was a disability support worker.</w:t>
      </w:r>
      <w:r>
        <w:rPr>
          <w:vertAlign w:val="superscript"/>
        </w:rPr>
        <w:footnoteReference w:id="18"/>
      </w:r>
      <w:r>
        <w:t xml:space="preserve"> </w:t>
      </w:r>
    </w:p>
    <w:p w14:paraId="30B83D61" w14:textId="77777777" w:rsidR="00A71428" w:rsidRDefault="00A71428"/>
    <w:p w14:paraId="27177A2C" w14:textId="77777777" w:rsidR="00A71428" w:rsidRDefault="00000000">
      <w:r>
        <w:t>Providing financial advice online can be a lucrative hobby and lead to a career if successful. For example, in 2021 Queenie Tan made AUD $5,000 per month from sponsorships with 17,900 subscribers on YouTube.</w:t>
      </w:r>
      <w:r>
        <w:rPr>
          <w:vertAlign w:val="superscript"/>
        </w:rPr>
        <w:footnoteReference w:id="19"/>
      </w:r>
      <w:r>
        <w:t xml:space="preserve"> Unlicensed finfluencers face a financial incentive to gain a following; higher engagement metrics allow them to charge higher fees from brands for their increased reach. Finfluencers can also make money from their followers in unscrupulous ways; convicted finfluencer Tyler Scholz illegally made AUD $1,156,500 over eight months across 2020 to 2021 by selling his stock recommendations, educational trading courses and subscriptions to his private Discord group.</w:t>
      </w:r>
      <w:r>
        <w:rPr>
          <w:vertAlign w:val="superscript"/>
        </w:rPr>
        <w:footnoteReference w:id="20"/>
      </w:r>
      <w:r>
        <w:t xml:space="preserve"> This dissertation argues that benefitting from telling others how to invest creates a corresponding responsibility to ensure the information is accurate, honest and balanced. </w:t>
      </w:r>
    </w:p>
    <w:p w14:paraId="4AB6ABD9" w14:textId="77777777" w:rsidR="00A71428" w:rsidRDefault="00A71428"/>
    <w:p w14:paraId="5CEB70B5" w14:textId="77777777" w:rsidR="00A71428" w:rsidRDefault="00000000">
      <w:r>
        <w:t xml:space="preserve">While there can be overlap, harmful finfluencer behaviour is distinct from other forms of online financial harm. Fraudulent schemes use financial products to lure victims into providing money, whereas finfluencers operate under their own identities and monetise their audiences through advertising rather than fraud. Their influence derives from their perceived investment expertise. </w:t>
      </w:r>
    </w:p>
    <w:p w14:paraId="4F4FB787" w14:textId="77777777" w:rsidR="00A71428" w:rsidRDefault="00A71428"/>
    <w:p w14:paraId="4040A5D6" w14:textId="77777777" w:rsidR="00A71428" w:rsidRDefault="00000000">
      <w:pPr>
        <w:pStyle w:val="Heading2"/>
      </w:pPr>
      <w:bookmarkStart w:id="15" w:name="_heading=h.wa86saay8vol" w:colFirst="0" w:colLast="0"/>
      <w:bookmarkEnd w:id="15"/>
      <w:r>
        <w:t>B Finfluencers in the Context of Social Media</w:t>
      </w:r>
    </w:p>
    <w:p w14:paraId="0B26DCE2" w14:textId="77777777" w:rsidR="00A71428" w:rsidRDefault="00000000">
      <w:r>
        <w:t xml:space="preserve">Finfluencers operate within the social media ecosystem and are incentivised by the platforms’ algorithm and opportunities for advertiser sponsorship. </w:t>
      </w:r>
    </w:p>
    <w:p w14:paraId="6CF49148" w14:textId="77777777" w:rsidR="00A71428" w:rsidRDefault="00A71428"/>
    <w:p w14:paraId="7D76666C" w14:textId="77777777" w:rsidR="00A71428" w:rsidRDefault="00000000">
      <w:r>
        <w:t>The hosts of “finfluence” are the social media platforms, whose algorithms connect content to viewers. Social media algorithms personalise each user's feed and prioritise posts which the platform predicts will be most engaging based on user watch time and other signals.</w:t>
      </w:r>
      <w:r>
        <w:rPr>
          <w:vertAlign w:val="superscript"/>
        </w:rPr>
        <w:footnoteReference w:id="21"/>
      </w:r>
      <w:r>
        <w:t xml:space="preserve"> </w:t>
      </w:r>
    </w:p>
    <w:p w14:paraId="42443365" w14:textId="77777777" w:rsidR="00A71428" w:rsidRDefault="00A71428"/>
    <w:p w14:paraId="4D7494C3" w14:textId="77777777" w:rsidR="00A71428" w:rsidRDefault="00000000">
      <w:r>
        <w:t>Finfluencers often use an audience-facing platform such as TikTok, Instagram, Youtube, X (formerly Twitter) or Reddit to attract an audience. Through this onramp, some may invite their followers or subscribers to private groups such as Discord, Facebook groups or Patreon to facilitate private conversations or coaching courses, often for a subscription fee.</w:t>
      </w:r>
      <w:r>
        <w:rPr>
          <w:vertAlign w:val="superscript"/>
        </w:rPr>
        <w:footnoteReference w:id="22"/>
      </w:r>
      <w:r>
        <w:t xml:space="preserve"> </w:t>
      </w:r>
    </w:p>
    <w:p w14:paraId="0C7BEC56" w14:textId="77777777" w:rsidR="00A71428" w:rsidRDefault="00A71428"/>
    <w:p w14:paraId="09265D83" w14:textId="77777777" w:rsidR="00A71428" w:rsidRDefault="00000000">
      <w:r>
        <w:t>The Alberta Securities Commission recognised that unlike financial advisers, “finfluencing has few barriers to entry – no relevant proficiency is required, and one only needs an internet-connected device and access to various social media platforms to reach an enormous audience”.</w:t>
      </w:r>
      <w:r>
        <w:rPr>
          <w:vertAlign w:val="superscript"/>
        </w:rPr>
        <w:footnoteReference w:id="23"/>
      </w:r>
      <w:r>
        <w:t xml:space="preserve"> Finfluencers attract a following by establishing their credibility on a topic through their video content, number of followers, video views and engagement with commenters.</w:t>
      </w:r>
      <w:r>
        <w:rPr>
          <w:vertAlign w:val="superscript"/>
        </w:rPr>
        <w:footnoteReference w:id="24"/>
      </w:r>
      <w:r>
        <w:t xml:space="preserve"> These metrics substitute for the traditional credibility markers of financial advisers, such as professional qualifications and Financial Service Provider licence numbers issued by the FMA. </w:t>
      </w:r>
    </w:p>
    <w:p w14:paraId="1FDE1BE5" w14:textId="77777777" w:rsidR="00A71428" w:rsidRDefault="00A71428"/>
    <w:p w14:paraId="26E0E79A" w14:textId="77777777" w:rsidR="00A71428" w:rsidRDefault="00000000">
      <w:r>
        <w:t>Without regulatory barriers to entry, the quality of financial advice online is highly variable. According to a sanctioned finfluencer, the incentives faced by finfluencers often encourage the dissemination of misinformation for “clickbait” to “attract more views and followers”.</w:t>
      </w:r>
      <w:r>
        <w:rPr>
          <w:vertAlign w:val="superscript"/>
        </w:rPr>
        <w:footnoteReference w:id="25"/>
      </w:r>
      <w:r>
        <w:t xml:space="preserve"> Misinformation can go viral and attract thousands of views, bypassing the need for a follower </w:t>
      </w:r>
      <w:r>
        <w:lastRenderedPageBreak/>
        <w:t>base.</w:t>
      </w:r>
      <w:r>
        <w:rPr>
          <w:vertAlign w:val="superscript"/>
        </w:rPr>
        <w:footnoteReference w:id="26"/>
      </w:r>
      <w:r>
        <w:t xml:space="preserve"> For example, a TikTok video went viral in 2023 claiming that paying $1 extra per day on a mortgage would reduce the time to repay a home loan from 20 years to five years. Although the maths was debunked, dozens of users shared this finding with their followers and amplified its reach.</w:t>
      </w:r>
      <w:r>
        <w:rPr>
          <w:vertAlign w:val="superscript"/>
        </w:rPr>
        <w:footnoteReference w:id="27"/>
      </w:r>
      <w:r>
        <w:t xml:space="preserve"> </w:t>
      </w:r>
    </w:p>
    <w:p w14:paraId="1D21B665" w14:textId="77777777" w:rsidR="00A71428" w:rsidRDefault="00A71428"/>
    <w:p w14:paraId="315F040E" w14:textId="77777777" w:rsidR="00A71428" w:rsidRDefault="00000000">
      <w:r>
        <w:t>Misleading or inaccurate information is common on social media because fact-checking relies on other users correcting the post after it reaches others’ feeds.</w:t>
      </w:r>
      <w:r>
        <w:rPr>
          <w:vertAlign w:val="superscript"/>
        </w:rPr>
        <w:footnoteReference w:id="28"/>
      </w:r>
      <w:r>
        <w:t xml:space="preserve"> Moreover, some posts cannot be fact-checked, such as predictions of stock prices. Social media platforms only take down posts when they breach community guidelines, which are primarily aimed towards removing violent or hateful content.</w:t>
      </w:r>
      <w:r>
        <w:rPr>
          <w:vertAlign w:val="superscript"/>
        </w:rPr>
        <w:footnoteReference w:id="29"/>
      </w:r>
      <w:r>
        <w:t xml:space="preserve"> Taking down posts is rarely followed by punitive action, and financial markets regulators and social media platforms address law-breaking content separately.</w:t>
      </w:r>
      <w:r>
        <w:rPr>
          <w:vertAlign w:val="superscript"/>
        </w:rPr>
        <w:footnoteReference w:id="30"/>
      </w:r>
      <w:r>
        <w:t xml:space="preserve"> Consequently, finfluencers do not need to fear censure or consequences, nor understand what they are promoting.</w:t>
      </w:r>
      <w:r>
        <w:rPr>
          <w:vertAlign w:val="superscript"/>
        </w:rPr>
        <w:footnoteReference w:id="31"/>
      </w:r>
      <w:r>
        <w:t xml:space="preserve"> For example, several influencers with no expertise in finance were found to have accepted remuneration and promoted an unregulated trading platform in Singapore, against Singaporean law.</w:t>
      </w:r>
      <w:r>
        <w:rPr>
          <w:vertAlign w:val="superscript"/>
        </w:rPr>
        <w:footnoteReference w:id="32"/>
      </w:r>
      <w:r>
        <w:t xml:space="preserve"> After the Monetary Authority of Singapore banned the platform, the influencers simply removed the post with no further reported consequences.</w:t>
      </w:r>
    </w:p>
    <w:p w14:paraId="252B4BE1" w14:textId="77777777" w:rsidR="00A71428" w:rsidRDefault="00A71428"/>
    <w:p w14:paraId="090AB276" w14:textId="77777777" w:rsidR="00A71428" w:rsidRDefault="00000000">
      <w:r>
        <w:lastRenderedPageBreak/>
        <w:t>As followers seek specific financial advice from people they trust, finfluencers may respond by endorsing specific products.</w:t>
      </w:r>
      <w:r>
        <w:rPr>
          <w:vertAlign w:val="superscript"/>
        </w:rPr>
        <w:footnoteReference w:id="33"/>
      </w:r>
      <w:r>
        <w:t xml:space="preserve"> While there are no statistics available for New Zealand, the Ontario Securities Commission found 35% of respondents reported making a financial decision based on advice from a finfluencer and that 24% of those exposed to a product-related advertisement made a purchase, compared to 7% of those surveyed who made the purchase independently.</w:t>
      </w:r>
      <w:r>
        <w:rPr>
          <w:vertAlign w:val="superscript"/>
        </w:rPr>
        <w:footnoteReference w:id="34"/>
      </w:r>
      <w:r>
        <w:rPr>
          <w:b/>
          <w:bCs/>
        </w:rPr>
        <w:t xml:space="preserve"> </w:t>
      </w:r>
      <w:r>
        <w:t>These figures reveal how influencer advertising is an effective marketing strategy. Finfluencers primarily monetise through sponsored content, which enables advertisers to reach targeted audiences through endorsements that appear authentic and yield higher conversion rates than platform advertising.</w:t>
      </w:r>
      <w:r>
        <w:rPr>
          <w:vertAlign w:val="superscript"/>
        </w:rPr>
        <w:footnoteReference w:id="35"/>
      </w:r>
      <w:r>
        <w:t xml:space="preserve"> Furthermore, confident, persuasive and simplified content is, like advertising, more likely to distort consumer decision-making.</w:t>
      </w:r>
      <w:r>
        <w:rPr>
          <w:vertAlign w:val="superscript"/>
        </w:rPr>
        <w:footnoteReference w:id="36"/>
      </w:r>
      <w:r>
        <w:t xml:space="preserve"> </w:t>
      </w:r>
    </w:p>
    <w:p w14:paraId="7A6D036C" w14:textId="77777777" w:rsidR="00A71428" w:rsidRDefault="00A71428"/>
    <w:p w14:paraId="43294D08" w14:textId="77777777" w:rsidR="00A71428" w:rsidRDefault="00000000">
      <w:pPr>
        <w:pStyle w:val="Heading2"/>
      </w:pPr>
      <w:bookmarkStart w:id="16" w:name="_heading=h.uinlmq25xnpv" w:colFirst="0" w:colLast="0"/>
      <w:bookmarkEnd w:id="16"/>
      <w:r>
        <w:t>C Necessity of Financial Advice</w:t>
      </w:r>
    </w:p>
    <w:p w14:paraId="227CFD0E" w14:textId="77777777" w:rsidR="00A71428" w:rsidRDefault="00000000">
      <w:r>
        <w:t>Under current economic conditions, long-term financial security requires an investment portfolio and financial literacy.</w:t>
      </w:r>
      <w:r>
        <w:rPr>
          <w:vertAlign w:val="superscript"/>
        </w:rPr>
        <w:footnoteReference w:id="37"/>
      </w:r>
      <w:r>
        <w:t xml:space="preserve"> Engagement with financial markets, through Kiwisaver and a portfolio of investments, has become a mainstay of life for the average New Zealander. Randy Martin’s seminal text on the “financialisation of daily life” posits that an individual’s market participation is necessary to achieve milestones like retirement, homeownership and education.</w:t>
      </w:r>
      <w:r>
        <w:rPr>
          <w:vertAlign w:val="superscript"/>
        </w:rPr>
        <w:footnoteReference w:id="38"/>
      </w:r>
      <w:r>
        <w:t xml:space="preserve"> Therefore, society at large has a vested interest in fair, efficient, and transparent financial markets which necessitate rules to protect their integrity and public confidence.</w:t>
      </w:r>
    </w:p>
    <w:p w14:paraId="3004D110" w14:textId="77777777" w:rsidR="00A71428" w:rsidRDefault="00A71428"/>
    <w:p w14:paraId="43D51786" w14:textId="77777777" w:rsidR="00A71428" w:rsidRDefault="00000000">
      <w:r>
        <w:t xml:space="preserve">This demand for financial advice reflects its necessity. Building an investment portfolio requires informed investment choices. However, there exists a significant “financial advice gap” which </w:t>
      </w:r>
      <w:r>
        <w:lastRenderedPageBreak/>
        <w:t>consists of a market where people seek financial advice but are not serviced by professional financial advisers due to cost.</w:t>
      </w:r>
      <w:r>
        <w:rPr>
          <w:vertAlign w:val="superscript"/>
        </w:rPr>
        <w:footnoteReference w:id="39"/>
      </w:r>
      <w:r>
        <w:t xml:space="preserve"> The Financial Services Council found 62.5% of those surveyed stated the cost of advice was the most significant barrier to seeking licensed financial advice in 2020.</w:t>
      </w:r>
      <w:r>
        <w:rPr>
          <w:vertAlign w:val="superscript"/>
        </w:rPr>
        <w:footnoteReference w:id="40"/>
      </w:r>
      <w:r>
        <w:t xml:space="preserve"> Alongside this, the FMA has stated the regulatory obligations have made the cost of providing advice uneconomical for licensed financial advisers to service the average New Zealander.</w:t>
      </w:r>
      <w:r>
        <w:rPr>
          <w:vertAlign w:val="superscript"/>
        </w:rPr>
        <w:footnoteReference w:id="41"/>
      </w:r>
      <w:r>
        <w:t xml:space="preserve"> This mismatch between the demand for financial advice and the lack of supply by the only industry authorised to offer such services pushes consumers to take advice from unlicensed finfluencers.</w:t>
      </w:r>
    </w:p>
    <w:p w14:paraId="60F438CF" w14:textId="77777777" w:rsidR="00A71428" w:rsidRDefault="00A71428"/>
    <w:p w14:paraId="143441D5" w14:textId="77777777" w:rsidR="00A71428" w:rsidRDefault="00000000">
      <w:r>
        <w:t>The demand for specific advice has been met through social media as a default medium of discourse, particularly amongst younger demographics who hold strong digital fluency.</w:t>
      </w:r>
      <w:r>
        <w:rPr>
          <w:vertAlign w:val="superscript"/>
        </w:rPr>
        <w:footnoteReference w:id="42"/>
      </w:r>
      <w:r>
        <w:t xml:space="preserve"> While professional advice is preferable, the convenience and constant availability of financial content at no cost have been effective at introducing retail investors to financial markets. Additionally, the Australian Securities and Investments Commission (</w:t>
      </w:r>
      <w:r>
        <w:rPr>
          <w:i/>
          <w:iCs/>
        </w:rPr>
        <w:t>ASIC</w:t>
      </w:r>
      <w:r>
        <w:t>) has observed that the surge in retail trading activity and the widespread uptake of micro-investing platforms during the COVID-19 pandemic have led to a significant increase in self-directed investors who rely on finfluencers as a primary source of financial education.</w:t>
      </w:r>
      <w:r>
        <w:rPr>
          <w:vertAlign w:val="superscript"/>
        </w:rPr>
        <w:footnoteReference w:id="43"/>
      </w:r>
      <w:r>
        <w:t xml:space="preserve"> Additionally, the FMA found in its 2021 Investor Confidence Research that six out of 10 New Zealanders who invested independently used online share trading platforms, such as Sharesies, InvestNow, or Hatch.</w:t>
      </w:r>
      <w:r>
        <w:rPr>
          <w:vertAlign w:val="superscript"/>
        </w:rPr>
        <w:footnoteReference w:id="44"/>
      </w:r>
      <w:r>
        <w:t xml:space="preserve"> </w:t>
      </w:r>
    </w:p>
    <w:p w14:paraId="33CE39AF" w14:textId="77777777" w:rsidR="00A71428" w:rsidRDefault="00A71428"/>
    <w:p w14:paraId="0987B5FC" w14:textId="77777777" w:rsidR="00A71428" w:rsidRDefault="00000000">
      <w:pPr>
        <w:pStyle w:val="Heading2"/>
      </w:pPr>
      <w:bookmarkStart w:id="17" w:name="_heading=h.bxxymf1o72dr" w:colFirst="0" w:colLast="0"/>
      <w:bookmarkEnd w:id="17"/>
      <w:r>
        <w:t>D Why Regulate Financial Advice from Finfluencers</w:t>
      </w:r>
    </w:p>
    <w:p w14:paraId="365D3BFF" w14:textId="77777777" w:rsidR="00A71428" w:rsidRDefault="00000000">
      <w:r>
        <w:t xml:space="preserve">Any proposal to restrict freedom of expression necessitates a review of whether the limitation is justified. The FMC Act restricts the provision of regulated financial advice only to those who meet </w:t>
      </w:r>
      <w:r>
        <w:lastRenderedPageBreak/>
        <w:t>certain licensing requirements. Before the Act’s passing in Parliament, the Office of Legal Counsel advised that the interests of consumer protection and confidence supported this restriction as a justifiable limit to freedom of expression in s 14 of the New Zealand Bill of Rights Act.</w:t>
      </w:r>
      <w:r>
        <w:rPr>
          <w:vertAlign w:val="superscript"/>
        </w:rPr>
        <w:footnoteReference w:id="45"/>
      </w:r>
    </w:p>
    <w:p w14:paraId="31D36900" w14:textId="77777777" w:rsidR="00A71428" w:rsidRDefault="00A71428"/>
    <w:p w14:paraId="166FE3CB" w14:textId="77777777" w:rsidR="00A71428" w:rsidRDefault="00000000">
      <w:r>
        <w:t>This dissertation argues that similar consumer protection rationales apply when regulating financial advice from finfluencers. The starting point for occupational regulation is that it is justified if there is a potential for consumer harm caused by “incompetent, negligent or fraudulent service”.</w:t>
      </w:r>
      <w:r>
        <w:rPr>
          <w:vertAlign w:val="superscript"/>
        </w:rPr>
        <w:footnoteReference w:id="46"/>
      </w:r>
      <w:r>
        <w:t xml:space="preserve"> Regulation is warranted where the significant harm is irreversible for an individual or moderately harmful across a sizable group; finfluencers can cause financial harm on a collective scale due to their reach on social media and persuasive authority.</w:t>
      </w:r>
      <w:r>
        <w:rPr>
          <w:vertAlign w:val="superscript"/>
        </w:rPr>
        <w:footnoteReference w:id="47"/>
      </w:r>
      <w:r>
        <w:t xml:space="preserve"> Consumers trust financial advice because they believe acting on it will improve their future financial position. Consequently, they invest sums in ventures that they would not have otherwise invested in. While consumers should exercise due diligence, finfluencers invite reliance on their advice and should be responsible for their influence.</w:t>
      </w:r>
    </w:p>
    <w:p w14:paraId="5D829E76" w14:textId="77777777" w:rsidR="00A71428" w:rsidRDefault="00A71428"/>
    <w:p w14:paraId="77060C26" w14:textId="77777777" w:rsidR="00A71428" w:rsidRDefault="00000000">
      <w:r>
        <w:t>Some may argue that regulating finfluencers to protect consumers is unnecessary or ineffective. Australian Minister Jane Hume stated regulating finfluencers would “inhibit progress and innovation” and viewers should take personal responsibility and use common sense when navigating financial advice online.</w:t>
      </w:r>
      <w:r>
        <w:rPr>
          <w:vertAlign w:val="superscript"/>
        </w:rPr>
        <w:footnoteReference w:id="48"/>
      </w:r>
      <w:r>
        <w:t xml:space="preserve"> However, the issue with finfluencers is more acute. Both financial advisers and finfluencers ostensibly give advice in the consumer’s interests, make money from influencing their consumers’ investment decisions, and have a vested interest in this ability. On this basis, regulation should establish a baseline quality standard for financial advice. Regulation is effective; Australia only issued 18 warnings in a 2025 “global week of action against </w:t>
      </w:r>
      <w:r>
        <w:lastRenderedPageBreak/>
        <w:t>unlawful finfluencers” led by the International Organization of Securities Commissions (</w:t>
      </w:r>
      <w:r>
        <w:rPr>
          <w:i/>
          <w:iCs/>
        </w:rPr>
        <w:t>IOSCO</w:t>
      </w:r>
      <w:r>
        <w:t>), indicating that Australia’s regulation of finfluencers has curtailed unlawful advice.</w:t>
      </w:r>
      <w:r>
        <w:rPr>
          <w:vertAlign w:val="superscript"/>
        </w:rPr>
        <w:footnoteReference w:id="49"/>
      </w:r>
    </w:p>
    <w:p w14:paraId="3E0D149A" w14:textId="77777777" w:rsidR="00A71428" w:rsidRDefault="00A71428"/>
    <w:p w14:paraId="16DC2918" w14:textId="77777777" w:rsidR="00A71428" w:rsidRDefault="00000000">
      <w:r>
        <w:t>Globally, securities regulators are enforcing their laws against finfluencers.</w:t>
      </w:r>
      <w:r>
        <w:rPr>
          <w:vertAlign w:val="superscript"/>
        </w:rPr>
        <w:footnoteReference w:id="50"/>
      </w:r>
      <w:r>
        <w:t xml:space="preserve"> Between 2022 and 2023, ordinary investors lost significant sums from the collapse of cryptocurrency trading platforms of FTX and BlockFi, and the non-fungible token market, after celebrities and finfluencers were paid to promote and legitimise the investments.</w:t>
      </w:r>
      <w:r>
        <w:rPr>
          <w:vertAlign w:val="superscript"/>
        </w:rPr>
        <w:footnoteReference w:id="51"/>
      </w:r>
      <w:r>
        <w:t xml:space="preserve"> In 2024, the IOSCO recorded that 14 regulators took action against lawbreaking finfluencers in their jurisdiction.</w:t>
      </w:r>
      <w:r>
        <w:rPr>
          <w:vertAlign w:val="superscript"/>
        </w:rPr>
        <w:footnoteReference w:id="52"/>
      </w:r>
      <w:r>
        <w:t xml:space="preserve"> In 2025, nine regulators from Australia, Austria, Canada, Hong Kong, Italy, the United Arab Emirates, and the United Kingdom joined IOSCO in its “global week of action against unlawful finfluencers”.</w:t>
      </w:r>
      <w:r>
        <w:rPr>
          <w:vertAlign w:val="superscript"/>
        </w:rPr>
        <w:footnoteReference w:id="53"/>
      </w:r>
      <w:r>
        <w:t xml:space="preserve"> This timeline suggests finfluencers have become a regulatory priority for many jurisdictions, and further enforcement action is likely in the coming years. The prevalence of regulator activity also demonstrates that conventional economic rationales underpinning financial advice laws also support regulating finfluencers to uphold similar standards of disclosure, ethics and competency to financial advisers.</w:t>
      </w:r>
      <w:r>
        <w:rPr>
          <w:vertAlign w:val="superscript"/>
        </w:rPr>
        <w:footnoteReference w:id="54"/>
      </w:r>
      <w:r>
        <w:t xml:space="preserve">   </w:t>
      </w:r>
    </w:p>
    <w:p w14:paraId="17214CB2" w14:textId="77777777" w:rsidR="00A71428" w:rsidRDefault="00A71428"/>
    <w:p w14:paraId="73880D5F" w14:textId="77777777" w:rsidR="00A71428" w:rsidRDefault="00000000">
      <w:r>
        <w:t xml:space="preserve">Three further reasons support financial advice from finfluencers as a regulated service: to hold them accountable, to protect consumers from conflicts of interest and from their own irrational behavioural characteristics. </w:t>
      </w:r>
    </w:p>
    <w:p w14:paraId="4575E501" w14:textId="77777777" w:rsidR="00A71428" w:rsidRDefault="00A71428"/>
    <w:p w14:paraId="56DF3BFE" w14:textId="77777777" w:rsidR="00A71428" w:rsidRDefault="00000000">
      <w:pPr>
        <w:pStyle w:val="Heading3"/>
      </w:pPr>
      <w:bookmarkStart w:id="18" w:name="_heading=h.jtrsqzhs40ga" w:colFirst="0" w:colLast="0"/>
      <w:bookmarkEnd w:id="18"/>
      <w:r>
        <w:lastRenderedPageBreak/>
        <w:t>1 Civil redress is ineffective</w:t>
      </w:r>
    </w:p>
    <w:p w14:paraId="4D0D56F0" w14:textId="77777777" w:rsidR="00A71428" w:rsidRDefault="00000000">
      <w:r>
        <w:t>Without regulation and its enforcement, unlicensed finfluencers are insulated from liability and effectively operate outside of the law. Recent cases in the United States have demonstrated that private redress is ineffective, even when viewers have the resources to initiate a civil action. This is an unfortunately common narrative behind several recent class actions in the United States where finfluencers advertised poorly-managed brokerage platforms or cryptocurrency projects as safe investments, but the operation collapsed, the parent company underwent liquidation, and viewers’ investments depreciated to zero.</w:t>
      </w:r>
      <w:r>
        <w:rPr>
          <w:vertAlign w:val="superscript"/>
        </w:rPr>
        <w:footnoteReference w:id="55"/>
      </w:r>
      <w:r>
        <w:t xml:space="preserve"> Proving liability in law is challenging since viewers have contractual relationships with the product offeror, rather than the finfluencers who induced them to invest. </w:t>
      </w:r>
    </w:p>
    <w:p w14:paraId="13CD22F6" w14:textId="77777777" w:rsidR="00A71428" w:rsidRDefault="00A71428"/>
    <w:p w14:paraId="3FC2EED1" w14:textId="77777777" w:rsidR="00A71428" w:rsidRDefault="00000000">
      <w:r>
        <w:t>For example, EthereumMax was a cryptocurrency token project endorsed by Kim Kardashian and other celebrities on Instagram, which lost 95% of its value several months later.</w:t>
      </w:r>
      <w:r>
        <w:rPr>
          <w:vertAlign w:val="superscript"/>
        </w:rPr>
        <w:footnoteReference w:id="56"/>
      </w:r>
      <w:r>
        <w:t xml:space="preserve"> A Californian class action consisting of followers who invested from her endorsement was dismissed for lack of standing and, in the alternative, failure to prove reliance in negligence.</w:t>
      </w:r>
      <w:r>
        <w:rPr>
          <w:vertAlign w:val="superscript"/>
        </w:rPr>
        <w:footnoteReference w:id="57"/>
      </w:r>
      <w:r>
        <w:t xml:space="preserve"> This case demonstrates the limitation of existing civil remedies against finfluencers. Where a client can take a complaint against their financial adviser to a dispute resolution scheme or bring a claim in contract or tort against their financial adviser, a viewer does not have recourse in law due to a lack of contractual privity. Thus, enforcing finfluencer accountability is difficult without a regulator and financial advice laws.</w:t>
      </w:r>
    </w:p>
    <w:p w14:paraId="34508B4A" w14:textId="77777777" w:rsidR="00A71428" w:rsidRDefault="00A71428"/>
    <w:p w14:paraId="10FC54AD" w14:textId="77777777" w:rsidR="00A71428" w:rsidRDefault="00000000">
      <w:r>
        <w:t>Regardless, civil redress in the case of any collapsed investment is like an ambulance at the bottom of the cliff. The delayed consequences of poor financial advice justify a preventative</w:t>
      </w:r>
      <w:r>
        <w:rPr>
          <w:i/>
          <w:iCs/>
        </w:rPr>
        <w:t xml:space="preserve"> </w:t>
      </w:r>
      <w:r>
        <w:t xml:space="preserve">regulatory </w:t>
      </w:r>
      <w:r>
        <w:lastRenderedPageBreak/>
        <w:t>approach. New Zealand enacted the Financial Advisers Act 2008 (a predecessor to the FMC Act) to prevent the recurrence of advisers purporting to have industry certifications, failing to disclose that they would receive commission from selling certain stock and continuing to recommend them even when serious governance issues became apparent.</w:t>
      </w:r>
      <w:r>
        <w:rPr>
          <w:vertAlign w:val="superscript"/>
        </w:rPr>
        <w:footnoteReference w:id="58"/>
      </w:r>
      <w:r>
        <w:t xml:space="preserve"> New Zealanders had trusted their advisers only to find that their entire investment was lost during the collapses of New Zealand finance companies between 2006 to 2012.</w:t>
      </w:r>
      <w:r>
        <w:rPr>
          <w:vertAlign w:val="superscript"/>
        </w:rPr>
        <w:footnoteReference w:id="59"/>
      </w:r>
      <w:r>
        <w:t xml:space="preserve"> Unfortunately, most were left with no recourse except to watch the regulator prosecute the fraudulent company directors.</w:t>
      </w:r>
      <w:r>
        <w:rPr>
          <w:vertAlign w:val="superscript"/>
        </w:rPr>
        <w:footnoteReference w:id="60"/>
      </w:r>
      <w:r>
        <w:t xml:space="preserve"> The fallout resulted in the current statutory regime which creates direct liability between clients and their financial advisers.</w:t>
      </w:r>
    </w:p>
    <w:p w14:paraId="3B492C91" w14:textId="77777777" w:rsidR="00A71428" w:rsidRDefault="00A71428"/>
    <w:p w14:paraId="013F879A" w14:textId="77777777" w:rsidR="00A71428" w:rsidRDefault="00000000">
      <w:pPr>
        <w:pStyle w:val="Heading3"/>
      </w:pPr>
      <w:bookmarkStart w:id="19" w:name="_heading=h.29v3kmiskjny" w:colFirst="0" w:colLast="0"/>
      <w:bookmarkEnd w:id="19"/>
      <w:r>
        <w:t xml:space="preserve">2 Conflicts of interest </w:t>
      </w:r>
    </w:p>
    <w:p w14:paraId="7D41D903" w14:textId="77777777" w:rsidR="00A71428" w:rsidRDefault="00000000">
      <w:r>
        <w:t>Finfluencers face an inherent conflict of interest because their primary financial incentive differs from that of professional financial advisers. While licensed advisers are paid by clients for tailored advice and are bound by duties of client care, finfluencers derive income primarily through advertising.</w:t>
      </w:r>
      <w:r>
        <w:rPr>
          <w:vertAlign w:val="superscript"/>
        </w:rPr>
        <w:footnoteReference w:id="61"/>
      </w:r>
      <w:r>
        <w:t xml:space="preserve"> Their income depends on their ability to attract views, followers and commercial partnerships. This remuneration model can compromise their advice and render their platform into a marketing medium. </w:t>
      </w:r>
    </w:p>
    <w:p w14:paraId="622F3F86" w14:textId="77777777" w:rsidR="00A71428" w:rsidRDefault="00A71428"/>
    <w:p w14:paraId="49A4F196" w14:textId="77777777" w:rsidR="00A71428" w:rsidRDefault="00000000">
      <w:r>
        <w:t>The concern is that finfluencer advertising is presented seamlessly with organic content, blurring the line between advice and advertising. Without disclosure of the commission, the finfluencers’ content is not an organic extension of the finfluencer but an act of marketing.</w:t>
      </w:r>
      <w:r>
        <w:rPr>
          <w:vertAlign w:val="superscript"/>
        </w:rPr>
        <w:footnoteReference w:id="62"/>
      </w:r>
      <w:r>
        <w:t xml:space="preserve"> At a minimum, investors are entitled to be aware if an adviser earns a commission so they can make an informed decision. However, finfluencers frequently fail to disclose paid partnerships or commissions, </w:t>
      </w:r>
      <w:r>
        <w:lastRenderedPageBreak/>
        <w:t>despite their obligations under their local financial advice laws and advertising laws.</w:t>
      </w:r>
      <w:r>
        <w:rPr>
          <w:vertAlign w:val="superscript"/>
        </w:rPr>
        <w:footnoteReference w:id="63"/>
      </w:r>
      <w:r>
        <w:t xml:space="preserve"> A study by the CFA Institute found that only 35% of finfluencer content which contained promotions made a disclosure.</w:t>
      </w:r>
      <w:r>
        <w:rPr>
          <w:vertAlign w:val="superscript"/>
        </w:rPr>
        <w:footnoteReference w:id="64"/>
      </w:r>
      <w:r>
        <w:t xml:space="preserve"> </w:t>
      </w:r>
    </w:p>
    <w:p w14:paraId="57D4F5A3" w14:textId="77777777" w:rsidR="00A71428" w:rsidRDefault="00A71428"/>
    <w:p w14:paraId="1FE04881" w14:textId="77777777" w:rsidR="00A71428" w:rsidRDefault="00000000">
      <w:r>
        <w:t>In this vein, brands use finfluencers as marketing strategies to legitimise financial products to consumers.</w:t>
      </w:r>
      <w:r>
        <w:rPr>
          <w:vertAlign w:val="superscript"/>
        </w:rPr>
        <w:footnoteReference w:id="65"/>
      </w:r>
      <w:r>
        <w:t xml:space="preserve"> Marketing is especially salient for consumer purchases because financial products are “credence goods”, whose qualities are difficult for consumers to judge pre-purchase.</w:t>
      </w:r>
      <w:r>
        <w:rPr>
          <w:vertAlign w:val="superscript"/>
        </w:rPr>
        <w:footnoteReference w:id="66"/>
      </w:r>
      <w:r>
        <w:t xml:space="preserve">  Thus, marketing imbues perceived value, especially in the case of cryptocurrencies which have no intrinsic value. Many cryptocurrency project teams pay significant sums to celebrities or finfluencers to market the coin before launch to signal credibility and reduce perceived risk.</w:t>
      </w:r>
      <w:r>
        <w:rPr>
          <w:vertAlign w:val="superscript"/>
        </w:rPr>
        <w:footnoteReference w:id="67"/>
      </w:r>
      <w:r>
        <w:t xml:space="preserve"> This results in an informational asymmetry between the consumer who is less informed about the product than the product seller.</w:t>
      </w:r>
      <w:r>
        <w:rPr>
          <w:vertAlign w:val="superscript"/>
        </w:rPr>
        <w:footnoteReference w:id="68"/>
      </w:r>
      <w:r>
        <w:t xml:space="preserve"> In this asymmetry, consumers seek an experienced third party for guidance. The speculative aspect of purchasing financial products requires a gamble on behalf of the consumer, which financial advisers and product offerors can exploit by working together.</w:t>
      </w:r>
      <w:r>
        <w:rPr>
          <w:vertAlign w:val="superscript"/>
        </w:rPr>
        <w:footnoteReference w:id="69"/>
      </w:r>
      <w:r>
        <w:t xml:space="preserve"> An informational imbalance results, which financial advice laws correct by requiring financial advisers to disclose their conflicts of interest.</w:t>
      </w:r>
      <w:r>
        <w:rPr>
          <w:vertAlign w:val="superscript"/>
        </w:rPr>
        <w:footnoteReference w:id="70"/>
      </w:r>
      <w:r>
        <w:t xml:space="preserve"> </w:t>
      </w:r>
    </w:p>
    <w:p w14:paraId="7A4A51FB" w14:textId="77777777" w:rsidR="00A71428" w:rsidRDefault="00A71428"/>
    <w:p w14:paraId="1037F137" w14:textId="77777777" w:rsidR="00A71428" w:rsidRDefault="00000000">
      <w:r>
        <w:t xml:space="preserve">Social media platforms exacerbate the conflict of interest between finfluencers and followers because disclosing advertising penalises the finfluencers’ engagement metrics. In </w:t>
      </w:r>
      <w:r>
        <w:rPr>
          <w:i/>
          <w:iCs/>
        </w:rPr>
        <w:t>Re Floreani</w:t>
      </w:r>
      <w:r>
        <w:t xml:space="preserve">, the </w:t>
      </w:r>
      <w:r>
        <w:lastRenderedPageBreak/>
        <w:t>Alberta Securities Commission sentenced a finfluencer for failing to disclose advertising.</w:t>
      </w:r>
      <w:r>
        <w:rPr>
          <w:vertAlign w:val="superscript"/>
        </w:rPr>
        <w:footnoteReference w:id="71"/>
      </w:r>
      <w:r>
        <w:t xml:space="preserve"> The finfluencer admitted that disclosing sponsorship “reduced the number of views” on his posts.</w:t>
      </w:r>
      <w:r>
        <w:rPr>
          <w:vertAlign w:val="superscript"/>
        </w:rPr>
        <w:footnoteReference w:id="72"/>
      </w:r>
      <w:r>
        <w:t xml:space="preserve"> These platforms’ algorithms therefore incentivise finfluencers to withhold information necessary to make an informed investment decision. In turn, several of his followers appeared to invest in the advertised investments and blamed him for their lost investments.</w:t>
      </w:r>
      <w:r>
        <w:rPr>
          <w:vertAlign w:val="superscript"/>
        </w:rPr>
        <w:footnoteReference w:id="73"/>
      </w:r>
      <w:r>
        <w:t xml:space="preserve"> Undisclosed conflicts of interest have significant knock-on effects for in financial markets; failing to disclose advertising undermines investor confidence and reduces investments.</w:t>
      </w:r>
      <w:r>
        <w:rPr>
          <w:vertAlign w:val="superscript"/>
        </w:rPr>
        <w:footnoteReference w:id="74"/>
      </w:r>
      <w:r>
        <w:t xml:space="preserve"> </w:t>
      </w:r>
    </w:p>
    <w:p w14:paraId="4D2D752A" w14:textId="77777777" w:rsidR="00A71428" w:rsidRDefault="00A71428"/>
    <w:p w14:paraId="63F4B036" w14:textId="77777777" w:rsidR="00A71428" w:rsidRDefault="00000000">
      <w:pPr>
        <w:pStyle w:val="Heading3"/>
      </w:pPr>
      <w:bookmarkStart w:id="20" w:name="_heading=h.su1k2w3o7efu" w:colFirst="0" w:colLast="0"/>
      <w:bookmarkEnd w:id="20"/>
      <w:r>
        <w:t>3 Behavioural biases</w:t>
      </w:r>
    </w:p>
    <w:p w14:paraId="3D18ED4C" w14:textId="77777777" w:rsidR="00A71428" w:rsidRDefault="00000000">
      <w:r>
        <w:t>Average investors have limited financial literacy skills and are more susceptible to behavioural biases.</w:t>
      </w:r>
      <w:r>
        <w:rPr>
          <w:vertAlign w:val="superscript"/>
        </w:rPr>
        <w:footnoteReference w:id="75"/>
      </w:r>
      <w:r>
        <w:t xml:space="preserve"> Studies have shown consumers have limited capacity for information processing, and make harmful financial decisions such as chasing fads, panicking in crises, or misunderstanding the suitability of financial products.</w:t>
      </w:r>
      <w:r>
        <w:rPr>
          <w:vertAlign w:val="superscript"/>
        </w:rPr>
        <w:footnoteReference w:id="76"/>
      </w:r>
      <w:r>
        <w:t xml:space="preserve"> In effect, consumers make choices which compromise their future financial welfare and produce outcomes inconsistent with their long-term interests.</w:t>
      </w:r>
      <w:r>
        <w:rPr>
          <w:vertAlign w:val="superscript"/>
        </w:rPr>
        <w:footnoteReference w:id="77"/>
      </w:r>
      <w:r>
        <w:t xml:space="preserve">  Finfluencers can exacerbate these behaviours for four reasons.</w:t>
      </w:r>
      <w:r>
        <w:rPr>
          <w:vertAlign w:val="superscript"/>
        </w:rPr>
        <w:footnoteReference w:id="78"/>
      </w:r>
    </w:p>
    <w:p w14:paraId="005442BF" w14:textId="77777777" w:rsidR="00A71428" w:rsidRDefault="00A71428"/>
    <w:p w14:paraId="3B914D76" w14:textId="77777777" w:rsidR="00A71428" w:rsidRDefault="00000000">
      <w:r>
        <w:t xml:space="preserve">First, unregulated advice from finfluencers, in combination with decentralisation of money through new technologies, has lowered the barrier of entry to complex investments and increased the likelihood of investors suffering loss. In addition, technological developments in consumer-facing investment platforms have “brought the Wall Street or London Stock Exchange experience to </w:t>
      </w:r>
      <w:r>
        <w:lastRenderedPageBreak/>
        <w:t>consumers”.</w:t>
      </w:r>
      <w:r>
        <w:rPr>
          <w:vertAlign w:val="superscript"/>
        </w:rPr>
        <w:footnoteReference w:id="79"/>
      </w:r>
      <w:r>
        <w:t xml:space="preserve"> Studies suggest that following finfluencers leads to over-trading and loss in investment funds.</w:t>
      </w:r>
      <w:r>
        <w:rPr>
          <w:vertAlign w:val="superscript"/>
        </w:rPr>
        <w:footnoteReference w:id="80"/>
      </w:r>
      <w:r>
        <w:t xml:space="preserve"> </w:t>
      </w:r>
    </w:p>
    <w:p w14:paraId="50558AEC" w14:textId="77777777" w:rsidR="00A71428" w:rsidRDefault="00A71428"/>
    <w:p w14:paraId="7CBF6CE7" w14:textId="77777777" w:rsidR="00A71428" w:rsidRDefault="00000000">
      <w:r>
        <w:t>Second, viewers are likely to succumb to confirmation bias when consuming finfluencer content and making investment decisions. Social media algorithms create an echo chamber of content that reinforces viewers’ pre-existing beliefs. As a result, financial content that aligns with a viewer’s prior expectations is more likely to surface on their feed while dissenting or cautionary perspectives are suppressed, all without the viewer’s knowledge. For example, optimistic projections about the non-fungible token market were prominent in social media before its collapse.</w:t>
      </w:r>
      <w:r>
        <w:rPr>
          <w:vertAlign w:val="superscript"/>
        </w:rPr>
        <w:footnoteReference w:id="81"/>
      </w:r>
      <w:r>
        <w:t xml:space="preserve"> The echo chamber effect encourages viewers to confidently act on finfluencer recommendations.</w:t>
      </w:r>
      <w:r>
        <w:rPr>
          <w:vertAlign w:val="superscript"/>
        </w:rPr>
        <w:footnoteReference w:id="82"/>
      </w:r>
      <w:r>
        <w:t xml:space="preserve"> </w:t>
      </w:r>
    </w:p>
    <w:p w14:paraId="56C1CCB5" w14:textId="77777777" w:rsidR="00A71428" w:rsidRDefault="00A71428"/>
    <w:p w14:paraId="63D72015" w14:textId="77777777" w:rsidR="00A71428" w:rsidRDefault="00000000">
      <w:r>
        <w:t>Third, finfluencers exploit viewers’ fear of missing out by highlighting time-sensitive and often high-risk opportunities to buy a certain stock early, thereby triggering psychological responses linked to scarcity and reward anticipation. Thus, consumers make impulsive decisions which act against their own interests.</w:t>
      </w:r>
      <w:r>
        <w:rPr>
          <w:vertAlign w:val="superscript"/>
        </w:rPr>
        <w:footnoteReference w:id="83"/>
      </w:r>
    </w:p>
    <w:p w14:paraId="4EF6A7C9" w14:textId="77777777" w:rsidR="00A71428" w:rsidRDefault="00A71428"/>
    <w:p w14:paraId="678FA1E9" w14:textId="77777777" w:rsidR="00A71428" w:rsidRDefault="00000000">
      <w:r>
        <w:t>Fourth, empirical research finds that finfluencers foster herd behaviour whereby followers mimic finfluencers’ investment decisions, as prominent figures in online financial communities, and sideline their independent judgment.</w:t>
      </w:r>
      <w:r>
        <w:rPr>
          <w:vertAlign w:val="superscript"/>
        </w:rPr>
        <w:footnoteReference w:id="84"/>
      </w:r>
      <w:r>
        <w:t xml:space="preserve"> Herd behaviour escalates where the finfluencer has a strong relationship to their community, such as within their paid educational course or private </w:t>
      </w:r>
      <w:r>
        <w:lastRenderedPageBreak/>
        <w:t>subscription group.</w:t>
      </w:r>
      <w:r>
        <w:rPr>
          <w:vertAlign w:val="superscript"/>
        </w:rPr>
        <w:footnoteReference w:id="85"/>
      </w:r>
      <w:r>
        <w:t xml:space="preserve"> For example, The New York Times reported that an investor lost most of her savings when she followed a finfluencer's recommendation from his paid course to transfer her cryptocurrency wallet to a now-bankrupt cryptocurrency platform. She felt confident with his endorsement of the platform and his follower count.</w:t>
      </w:r>
      <w:r>
        <w:rPr>
          <w:vertAlign w:val="superscript"/>
        </w:rPr>
        <w:footnoteReference w:id="86"/>
      </w:r>
      <w:r>
        <w:t xml:space="preserve"> </w:t>
      </w:r>
    </w:p>
    <w:p w14:paraId="0C4343F6" w14:textId="77777777" w:rsidR="00A71428" w:rsidRDefault="00A71428"/>
    <w:p w14:paraId="0B92DF74" w14:textId="77777777" w:rsidR="00A71428" w:rsidRDefault="00000000">
      <w:r>
        <w:t>Ultimately, financial advice from finfluencers should be regulated. Retail investors are subject to behavioural bias and finfluencers monetarily benefit from influencing their investment decisions. Entry and conduct regulations to maintain a minimum standard of quality, ethics and competency must be imposed to protect consumers.</w:t>
      </w:r>
    </w:p>
    <w:p w14:paraId="1C9329A1" w14:textId="77777777" w:rsidR="00A71428" w:rsidRDefault="00A71428"/>
    <w:p w14:paraId="54B0B9B6" w14:textId="77777777" w:rsidR="00A71428" w:rsidRDefault="00000000">
      <w:pPr>
        <w:pStyle w:val="Heading1"/>
      </w:pPr>
      <w:bookmarkStart w:id="21" w:name="_heading=h.879e17n05ryh" w:colFirst="0" w:colLast="0"/>
      <w:bookmarkEnd w:id="21"/>
      <w:r>
        <w:t xml:space="preserve">III New Zealand’s Regulatory Framework </w:t>
      </w:r>
    </w:p>
    <w:p w14:paraId="1AD16C1D" w14:textId="77777777" w:rsidR="00A71428" w:rsidRDefault="00000000">
      <w:r>
        <w:t>New Zealand uses both regulations and guidelines to supervise the provision of financial advice. The Financial Markets Authority, the primary regulator of the financial advice industry, enforces the Financial Markets Conduct Act 2013 and the Code of Professional Conduct for Financial Advisers (</w:t>
      </w:r>
      <w:r>
        <w:rPr>
          <w:i/>
          <w:iCs/>
        </w:rPr>
        <w:t>Code of Conduct</w:t>
      </w:r>
      <w:r>
        <w:t>). The Advertising Standards Authority (</w:t>
      </w:r>
      <w:r>
        <w:rPr>
          <w:i/>
          <w:iCs/>
        </w:rPr>
        <w:t>ASA</w:t>
      </w:r>
      <w:r>
        <w:t xml:space="preserve">) can request the takedown of undisclosed advertisements on social media. </w:t>
      </w:r>
    </w:p>
    <w:p w14:paraId="6F2D44B6" w14:textId="77777777" w:rsidR="00A71428" w:rsidRDefault="00A71428"/>
    <w:p w14:paraId="36B1F274" w14:textId="77777777" w:rsidR="00A71428" w:rsidRDefault="00000000">
      <w:r>
        <w:t>The FMA released a guidance note in 2021 (</w:t>
      </w:r>
      <w:r>
        <w:rPr>
          <w:i/>
          <w:iCs/>
        </w:rPr>
        <w:t>FMA Guide</w:t>
      </w:r>
      <w:r>
        <w:t>) which stated “consumers, social media influencers, bloggers and anyone wanting to discuss money matters online” are subject to the existing financial advice laws when giving financial advice as if they were professional financial advisers.</w:t>
      </w:r>
      <w:r>
        <w:rPr>
          <w:vertAlign w:val="superscript"/>
        </w:rPr>
        <w:footnoteReference w:id="87"/>
      </w:r>
      <w:r>
        <w:t xml:space="preserve"> However, the FMC Act’s presumption of a proximate, one-to-one relationship between finfluencers and viewers creates compliance difficulties with the statutory duties and Code of Conduct. Compliance would require a loose interpretation of the current laws; however, an imprecise interpretation undermines the ability of well-intentioned individuals to follow the law </w:t>
      </w:r>
      <w:r>
        <w:lastRenderedPageBreak/>
        <w:t>and the rule of law. Clear rules are important as giving regulated financial advice without a licence can result in fines of up to $200,000 for the contravening person.</w:t>
      </w:r>
      <w:r>
        <w:rPr>
          <w:vertAlign w:val="superscript"/>
        </w:rPr>
        <w:footnoteReference w:id="88"/>
      </w:r>
      <w:r>
        <w:t xml:space="preserve"> </w:t>
      </w:r>
    </w:p>
    <w:p w14:paraId="63AF1B0A" w14:textId="77777777" w:rsidR="00A71428" w:rsidRDefault="00A71428"/>
    <w:p w14:paraId="4FAD32BD" w14:textId="77777777" w:rsidR="00A71428" w:rsidRDefault="00000000">
      <w:r>
        <w:t xml:space="preserve">This section first examines Part 6 of the FMC Act which is the first regulatory layer that restrains harmful financial advice. It explains that finfluencers who provide financial advice services must hold a Financial Advice Provider Licence to operate. It concludes that current laws have two overarching issues: the entry test to licensing is ambiguous and does not inform finfluencers or their audience whether they need to obtain a license; and if finfluencers obtain a licence, they cannot comply with the duties expected of Financial Advice Providers. It concludes that the current laws are more likely to censor well-intentioned finfluencers who create helpful and balanced educational content, rather than reducing the dissemination of harmful financial advice online. </w:t>
      </w:r>
    </w:p>
    <w:p w14:paraId="428049E9" w14:textId="77777777" w:rsidR="00A71428" w:rsidRDefault="00A71428"/>
    <w:p w14:paraId="4EA053E6" w14:textId="77777777" w:rsidR="00A71428" w:rsidRDefault="00000000">
      <w:pPr>
        <w:pStyle w:val="Heading2"/>
      </w:pPr>
      <w:bookmarkStart w:id="22" w:name="_heading=h.h51pbmyotav4" w:colFirst="0" w:colLast="0"/>
      <w:bookmarkEnd w:id="22"/>
      <w:r>
        <w:t>A Types of Regulation for the Financial Advice Industry</w:t>
      </w:r>
    </w:p>
    <w:p w14:paraId="77BF79BD" w14:textId="77777777" w:rsidR="00A71428" w:rsidRDefault="00000000">
      <w:r>
        <w:t>New Zealand employs four regulatory strategies to protect consumers when they make investment decisions in reliance on financial advisers through the FMC Act: entry regulation, conduct regulation, information strategies and licensing. Entry regulations comprise qualification requirements, such as the requirement for applicants to hold a Certificate in Financial Services. Conduct regulation, with the duties in the FMC Act and the Code of Professional Conduct for Financial Advice Services, manages the relationship between advisers and clients and imposes standards of good behaviour.</w:t>
      </w:r>
      <w:r>
        <w:rPr>
          <w:vertAlign w:val="superscript"/>
        </w:rPr>
        <w:footnoteReference w:id="89"/>
      </w:r>
      <w:r>
        <w:t xml:space="preserve"> Conduct regulation also imposes disclosure obligations to help investors make an informed decision, such as whether the adviser is compensated based on their recommendations.</w:t>
      </w:r>
      <w:r>
        <w:rPr>
          <w:vertAlign w:val="superscript"/>
        </w:rPr>
        <w:footnoteReference w:id="90"/>
      </w:r>
      <w:r>
        <w:t xml:space="preserve"> Finally, the FAP licence punishes advisers who fall afoul of this boundary with measures that directly affect their business, such as suspensions or cancellation of licences. This section argues that the entry and conduct regulations fall short of their intended purpose in the finfluencer context. </w:t>
      </w:r>
    </w:p>
    <w:p w14:paraId="07AE4A0A" w14:textId="77777777" w:rsidR="00A71428" w:rsidRDefault="00A71428"/>
    <w:p w14:paraId="445B1735" w14:textId="77777777" w:rsidR="00A71428" w:rsidRDefault="00000000">
      <w:pPr>
        <w:pStyle w:val="Heading2"/>
      </w:pPr>
      <w:bookmarkStart w:id="23" w:name="_heading=h.n92eg4b1sxjo" w:colFirst="0" w:colLast="0"/>
      <w:bookmarkEnd w:id="23"/>
      <w:r>
        <w:t xml:space="preserve">B The Financial Advice Provider Licence </w:t>
      </w:r>
    </w:p>
    <w:p w14:paraId="75962138" w14:textId="77777777" w:rsidR="00A71428" w:rsidRDefault="00000000">
      <w:r>
        <w:t>First, anyone who provides a “financial advice service” must obtain a Financial Advice Provider (</w:t>
      </w:r>
      <w:r>
        <w:rPr>
          <w:i/>
          <w:iCs/>
        </w:rPr>
        <w:t>FAP</w:t>
      </w:r>
      <w:r>
        <w:t>) licence from the FMA.</w:t>
      </w:r>
      <w:r>
        <w:rPr>
          <w:vertAlign w:val="superscript"/>
        </w:rPr>
        <w:footnoteReference w:id="91"/>
      </w:r>
      <w:r>
        <w:t xml:space="preserve"> A person provides a “financial advice service” if they give “regulated financial advice” to their clients on their own account.</w:t>
      </w:r>
      <w:r>
        <w:rPr>
          <w:vertAlign w:val="superscript"/>
        </w:rPr>
        <w:footnoteReference w:id="92"/>
      </w:r>
      <w:r>
        <w:t xml:space="preserve"> The licensing requirement applies regardless of the form of financial advice, such as in conversation, through video or by implication.</w:t>
      </w:r>
      <w:r>
        <w:rPr>
          <w:vertAlign w:val="superscript"/>
        </w:rPr>
        <w:footnoteReference w:id="93"/>
      </w:r>
      <w:r>
        <w:t xml:space="preserve"> </w:t>
      </w:r>
    </w:p>
    <w:p w14:paraId="1B8560CD" w14:textId="77777777" w:rsidR="00A71428" w:rsidRDefault="00A71428"/>
    <w:p w14:paraId="66DF4AE6" w14:textId="77777777" w:rsidR="00A71428" w:rsidRDefault="00000000">
      <w:r>
        <w:t>A licence is also necessary to hold out as a financial adviser or purport to lawfully provide financial advice.</w:t>
      </w:r>
      <w:r>
        <w:rPr>
          <w:vertAlign w:val="superscript"/>
        </w:rPr>
        <w:footnoteReference w:id="94"/>
      </w:r>
      <w:r>
        <w:t xml:space="preserve"> However, finfluencers are unlikely to hold out as a financial adviser; they are more likely to self-proclaim as a self-taught and successful expert in investment to boost their credibility and influence.</w:t>
      </w:r>
      <w:r>
        <w:rPr>
          <w:vertAlign w:val="superscript"/>
        </w:rPr>
        <w:footnoteReference w:id="95"/>
      </w:r>
      <w:r>
        <w:t xml:space="preserve"> </w:t>
      </w:r>
    </w:p>
    <w:p w14:paraId="1F493CC3" w14:textId="77777777" w:rsidR="00A71428" w:rsidRDefault="00A71428"/>
    <w:p w14:paraId="57ACCB32" w14:textId="77777777" w:rsidR="00A71428" w:rsidRDefault="00000000">
      <w:pPr>
        <w:pStyle w:val="Heading3"/>
      </w:pPr>
      <w:bookmarkStart w:id="24" w:name="_heading=h.hm8ldaudfaaw" w:colFirst="0" w:colLast="0"/>
      <w:bookmarkEnd w:id="24"/>
      <w:r>
        <w:t xml:space="preserve">1 Licensing Threshold  </w:t>
      </w:r>
    </w:p>
    <w:p w14:paraId="1AFC2C83" w14:textId="77777777" w:rsidR="00A71428" w:rsidRDefault="00000000">
      <w:r>
        <w:t>Giving regulated financial advice triggers the requirement to obtain a FAP licence.</w:t>
      </w:r>
      <w:r>
        <w:rPr>
          <w:vertAlign w:val="superscript"/>
        </w:rPr>
        <w:footnoteReference w:id="96"/>
      </w:r>
      <w:r>
        <w:t xml:space="preserve"> A person gives regulated financial advice when:</w:t>
      </w:r>
      <w:r>
        <w:rPr>
          <w:vertAlign w:val="superscript"/>
        </w:rPr>
        <w:footnoteReference w:id="97"/>
      </w:r>
    </w:p>
    <w:p w14:paraId="57444DEB" w14:textId="77777777" w:rsidR="00A71428" w:rsidRDefault="00000000">
      <w:pPr>
        <w:numPr>
          <w:ilvl w:val="0"/>
          <w:numId w:val="1"/>
        </w:numPr>
      </w:pPr>
      <w:r>
        <w:t>The person provides financial advice;</w:t>
      </w:r>
    </w:p>
    <w:p w14:paraId="726E1047" w14:textId="77777777" w:rsidR="00A71428" w:rsidRDefault="00000000">
      <w:pPr>
        <w:numPr>
          <w:ilvl w:val="0"/>
          <w:numId w:val="1"/>
        </w:numPr>
      </w:pPr>
      <w:r>
        <w:t>The advice is given in the ordinary course of business; and</w:t>
      </w:r>
    </w:p>
    <w:p w14:paraId="037360D1" w14:textId="77777777" w:rsidR="00A71428" w:rsidRDefault="00000000">
      <w:pPr>
        <w:numPr>
          <w:ilvl w:val="0"/>
          <w:numId w:val="1"/>
        </w:numPr>
      </w:pPr>
      <w:r>
        <w:t>The advice is not excluded under a list of exclusions in cls 8 to 18 of sch 5.</w:t>
      </w:r>
    </w:p>
    <w:p w14:paraId="7C55F07D" w14:textId="77777777" w:rsidR="00A71428" w:rsidRDefault="00000000">
      <w:r>
        <w:lastRenderedPageBreak/>
        <w:t>The advice must also be given to retail clients, as opposed to wholesale clients.</w:t>
      </w:r>
      <w:r>
        <w:rPr>
          <w:vertAlign w:val="superscript"/>
        </w:rPr>
        <w:footnoteReference w:id="98"/>
      </w:r>
      <w:r>
        <w:t xml:space="preserve"> An analysis of each requirement for finfluencers is presented below. </w:t>
      </w:r>
    </w:p>
    <w:p w14:paraId="07F7DEF4" w14:textId="77777777" w:rsidR="00A71428" w:rsidRDefault="00A71428"/>
    <w:p w14:paraId="4B30ED90" w14:textId="77777777" w:rsidR="00A71428" w:rsidRDefault="00000000">
      <w:pPr>
        <w:pStyle w:val="Heading4"/>
        <w:ind w:firstLine="280"/>
      </w:pPr>
      <w:bookmarkStart w:id="25" w:name="_heading=h.nrr4adjbiawx" w:colFirst="0" w:colLast="0"/>
      <w:bookmarkEnd w:id="25"/>
      <w:r>
        <w:t>(a) Retail investors</w:t>
      </w:r>
    </w:p>
    <w:p w14:paraId="2F168C9F" w14:textId="77777777" w:rsidR="00A71428" w:rsidRDefault="00000000">
      <w:r>
        <w:t>The FMC Act exempts a person intending to provide a financial advice service to the extent that their service is not provided to any retail clients.</w:t>
      </w:r>
      <w:r>
        <w:rPr>
          <w:vertAlign w:val="superscript"/>
        </w:rPr>
        <w:footnoteReference w:id="99"/>
      </w:r>
      <w:r>
        <w:t xml:space="preserve"> Retail clients are individuals who lack professional investing experience and are afforded increased consumer protections under the FMC Act.</w:t>
      </w:r>
      <w:r>
        <w:rPr>
          <w:vertAlign w:val="superscript"/>
        </w:rPr>
        <w:footnoteReference w:id="100"/>
      </w:r>
      <w:r>
        <w:t xml:space="preserve"> Finfluencers will give advice to retail clients as their audiences generally are inexperienced investors.</w:t>
      </w:r>
    </w:p>
    <w:p w14:paraId="0F1D8B67" w14:textId="77777777" w:rsidR="00A71428" w:rsidRDefault="00A71428"/>
    <w:p w14:paraId="7B79A783" w14:textId="77777777" w:rsidR="00A71428" w:rsidRDefault="00000000">
      <w:pPr>
        <w:pStyle w:val="Heading4"/>
        <w:ind w:firstLine="280"/>
      </w:pPr>
      <w:bookmarkStart w:id="26" w:name="_heading=h.3z4uf98ckd0d" w:colFirst="0" w:colLast="0"/>
      <w:bookmarkEnd w:id="26"/>
      <w:r>
        <w:t>(b) Financial advice</w:t>
      </w:r>
    </w:p>
    <w:p w14:paraId="051C362B" w14:textId="77777777" w:rsidR="00A71428" w:rsidRDefault="00000000">
      <w:r>
        <w:t>The Ministry of Business, Innovation and Employment (</w:t>
      </w:r>
      <w:r>
        <w:rPr>
          <w:i/>
          <w:iCs/>
        </w:rPr>
        <w:t>MBIE</w:t>
      </w:r>
      <w:r>
        <w:t>) defines financial advice as recommending “a particular course of action in relation to spending, saving, borrowing, investing, choice of financial products”.</w:t>
      </w:r>
      <w:r>
        <w:rPr>
          <w:vertAlign w:val="superscript"/>
        </w:rPr>
        <w:footnoteReference w:id="101"/>
      </w:r>
      <w:r>
        <w:t xml:space="preserve"> In their review of the now-repealed Financial Advisers Act 2008, MBIE acknowledges that giving financial advice is an ordinary part of conversation amongst friends, family, colleagues, publications and social media.</w:t>
      </w:r>
      <w:r>
        <w:rPr>
          <w:vertAlign w:val="superscript"/>
        </w:rPr>
        <w:footnoteReference w:id="102"/>
      </w:r>
      <w:r>
        <w:t xml:space="preserve"> For this reason, New Zealand’s regulatory framework focuses on regulated financial advice. To examine the first element, a person gives financial advice under the FMC Act if the person:</w:t>
      </w:r>
      <w:r>
        <w:rPr>
          <w:vertAlign w:val="superscript"/>
        </w:rPr>
        <w:footnoteReference w:id="103"/>
      </w:r>
    </w:p>
    <w:p w14:paraId="2656C08D" w14:textId="77777777" w:rsidR="00A71428" w:rsidRDefault="00000000">
      <w:pPr>
        <w:numPr>
          <w:ilvl w:val="0"/>
          <w:numId w:val="2"/>
        </w:numPr>
      </w:pPr>
      <w:r>
        <w:t>makes a recommendation or gives an opinion about acquiring or disposing of (or not acquiring or disposing of) a financial advice product; or</w:t>
      </w:r>
    </w:p>
    <w:p w14:paraId="6925AC26" w14:textId="77777777" w:rsidR="00A71428" w:rsidRDefault="00000000">
      <w:pPr>
        <w:numPr>
          <w:ilvl w:val="0"/>
          <w:numId w:val="2"/>
        </w:numPr>
      </w:pPr>
      <w:r>
        <w:t>makes a recommendation or gives an opinion about switching funds within a managed investment scheme; or</w:t>
      </w:r>
    </w:p>
    <w:p w14:paraId="654A2038" w14:textId="77777777" w:rsidR="00A71428" w:rsidRDefault="00000000">
      <w:pPr>
        <w:numPr>
          <w:ilvl w:val="0"/>
          <w:numId w:val="2"/>
        </w:numPr>
      </w:pPr>
      <w:r>
        <w:t>designs an investment plan for a person that—</w:t>
      </w:r>
    </w:p>
    <w:p w14:paraId="67C2EC31" w14:textId="77777777" w:rsidR="00A71428" w:rsidRDefault="00000000">
      <w:pPr>
        <w:numPr>
          <w:ilvl w:val="1"/>
          <w:numId w:val="2"/>
        </w:numPr>
      </w:pPr>
      <w:r>
        <w:t>purports to be based on—</w:t>
      </w:r>
    </w:p>
    <w:p w14:paraId="3BEC0A90" w14:textId="77777777" w:rsidR="00A71428" w:rsidRDefault="00000000">
      <w:pPr>
        <w:numPr>
          <w:ilvl w:val="0"/>
          <w:numId w:val="3"/>
        </w:numPr>
        <w:ind w:left="2160"/>
      </w:pPr>
      <w:r>
        <w:lastRenderedPageBreak/>
        <w:t xml:space="preserve"> an analysis of the person’s current and future overall financial situation (including investment needs); and</w:t>
      </w:r>
    </w:p>
    <w:p w14:paraId="695E0C54" w14:textId="77777777" w:rsidR="00A71428" w:rsidRDefault="00000000">
      <w:pPr>
        <w:numPr>
          <w:ilvl w:val="0"/>
          <w:numId w:val="3"/>
        </w:numPr>
        <w:ind w:left="2160"/>
      </w:pPr>
      <w:r>
        <w:t xml:space="preserve"> the identification of the person’s investment goals; and</w:t>
      </w:r>
    </w:p>
    <w:p w14:paraId="580BE06F" w14:textId="77777777" w:rsidR="00A71428" w:rsidRDefault="00000000">
      <w:pPr>
        <w:numPr>
          <w:ilvl w:val="1"/>
          <w:numId w:val="2"/>
        </w:numPr>
      </w:pPr>
      <w:r>
        <w:t>includes 1 or more recommendations or opinions on how to realise 1 or more of those goals; or</w:t>
      </w:r>
    </w:p>
    <w:p w14:paraId="5AADEE12" w14:textId="77777777" w:rsidR="00A71428" w:rsidRDefault="00000000">
      <w:pPr>
        <w:numPr>
          <w:ilvl w:val="0"/>
          <w:numId w:val="2"/>
        </w:numPr>
      </w:pPr>
      <w:r>
        <w:t>provides financial planning of a kind prescribed by the regulations.</w:t>
      </w:r>
    </w:p>
    <w:p w14:paraId="5D930A05" w14:textId="77777777" w:rsidR="00A71428" w:rsidRDefault="00A71428"/>
    <w:p w14:paraId="6CF447B7" w14:textId="77777777" w:rsidR="00A71428" w:rsidRDefault="00000000">
      <w:r>
        <w:t>Financial planning in (d) is undefined in the FMC Act or its regulations. Few finfluencers will provide financial advice in line with (c) because an investment plan is generally personalised to the client’s circumstances, whereas finfluencers communicate advice to a broad audience. A plain reading of (c) suggests this service requires a FAP licence despite a lack of FMA enforcement.</w:t>
      </w:r>
    </w:p>
    <w:p w14:paraId="727038E1" w14:textId="77777777" w:rsidR="00A71428" w:rsidRDefault="00A71428"/>
    <w:p w14:paraId="56430440" w14:textId="77777777" w:rsidR="00A71428" w:rsidRDefault="00000000">
      <w:r>
        <w:t>On the whole, most finfluencers will give financial advice under the definition in (a) of making a recommendation or giving an opinion about buying or selling a financial advice product. Finfluencers are less likely to recommend switching funds in (b) because switching funds in Kiwisaver or other managed funds tends to be specific content that is less applicable to a wide audience.</w:t>
      </w:r>
    </w:p>
    <w:p w14:paraId="6406F678" w14:textId="77777777" w:rsidR="00A71428" w:rsidRDefault="00A71428"/>
    <w:p w14:paraId="7A2A5705" w14:textId="77777777" w:rsidR="00A71428" w:rsidRDefault="00000000">
      <w:r>
        <w:t>New Zealand courts’ interpretation of “making a recommendation or giving an opinion” is likely to be broad.</w:t>
      </w:r>
      <w:r>
        <w:rPr>
          <w:vertAlign w:val="superscript"/>
        </w:rPr>
        <w:footnoteReference w:id="104"/>
      </w:r>
      <w:r>
        <w:t xml:space="preserve"> A narrow definition would frustrate the consumer protection principles to ensure the quality of financial advice service.</w:t>
      </w:r>
      <w:r>
        <w:rPr>
          <w:vertAlign w:val="superscript"/>
        </w:rPr>
        <w:footnoteReference w:id="105"/>
      </w:r>
      <w:r>
        <w:t xml:space="preserve"> Scott Yang contends that New Zealand courts will likely consider Australian case law if a definitional challenge arose, which holds that “financial advice” includes both explicit and implicit recommendations.</w:t>
      </w:r>
      <w:r>
        <w:rPr>
          <w:vertAlign w:val="superscript"/>
        </w:rPr>
        <w:footnoteReference w:id="106"/>
      </w:r>
      <w:r>
        <w:t xml:space="preserve"> The New South Wales Supreme Court acknowledged that financial advice was often information “presented in a form that implies that the presenter’s view is that the contemplated course of action is likely to be beneficial to the </w:t>
      </w:r>
      <w:r>
        <w:lastRenderedPageBreak/>
        <w:t>client”.</w:t>
      </w:r>
      <w:r>
        <w:rPr>
          <w:vertAlign w:val="superscript"/>
        </w:rPr>
        <w:footnoteReference w:id="107"/>
      </w:r>
      <w:r>
        <w:t xml:space="preserve"> Such a definition is consistent with most finfluencer content where advice is not given plainly but through telling cautionary tales or success stories.</w:t>
      </w:r>
      <w:r>
        <w:rPr>
          <w:vertAlign w:val="superscript"/>
        </w:rPr>
        <w:footnoteReference w:id="108"/>
      </w:r>
    </w:p>
    <w:p w14:paraId="45595D91" w14:textId="77777777" w:rsidR="00A71428" w:rsidRDefault="00A71428"/>
    <w:p w14:paraId="10675C2B" w14:textId="77777777" w:rsidR="00A71428" w:rsidRDefault="00000000">
      <w:r>
        <w:t>Given the broadness of the definition of financial advice, one could assume most finfluencer communication falls within the bounds of financial advice. However, the FMC Act carves out factual information,</w:t>
      </w:r>
      <w:r>
        <w:rPr>
          <w:vertAlign w:val="superscript"/>
        </w:rPr>
        <w:footnoteReference w:id="109"/>
      </w:r>
      <w:r>
        <w:t xml:space="preserve"> giving general recommendations,</w:t>
      </w:r>
      <w:r>
        <w:rPr>
          <w:vertAlign w:val="superscript"/>
        </w:rPr>
        <w:footnoteReference w:id="110"/>
      </w:r>
      <w:r>
        <w:t xml:space="preserve"> recommending that a person obtain financial advice and passing on financial advice given by another person from the definition of financial advice.</w:t>
      </w:r>
      <w:r>
        <w:rPr>
          <w:vertAlign w:val="superscript"/>
        </w:rPr>
        <w:footnoteReference w:id="111"/>
      </w:r>
      <w:r>
        <w:t xml:space="preserve"> Factual information on financial advice products is information which is empirically true, such as a financial product’s features or terms and conditions.</w:t>
      </w:r>
      <w:r>
        <w:rPr>
          <w:vertAlign w:val="superscript"/>
        </w:rPr>
        <w:footnoteReference w:id="112"/>
      </w:r>
      <w:r>
        <w:t xml:space="preserve"> This includes commentary about financial markets and educating viewers on financial concepts.</w:t>
      </w:r>
      <w:r>
        <w:rPr>
          <w:vertAlign w:val="superscript"/>
        </w:rPr>
        <w:footnoteReference w:id="113"/>
      </w:r>
      <w:r>
        <w:t xml:space="preserve"> </w:t>
      </w:r>
    </w:p>
    <w:p w14:paraId="6847A4F3" w14:textId="77777777" w:rsidR="00A71428" w:rsidRDefault="00A71428"/>
    <w:p w14:paraId="1F8FFB7C" w14:textId="77777777" w:rsidR="00A71428" w:rsidRDefault="00000000">
      <w:pPr>
        <w:pStyle w:val="Heading4"/>
        <w:ind w:firstLine="280"/>
      </w:pPr>
      <w:bookmarkStart w:id="27" w:name="_heading=h.nttvrjixyhs7" w:colFirst="0" w:colLast="0"/>
      <w:bookmarkEnd w:id="27"/>
      <w:r>
        <w:t>(c) In the ordinary course of business</w:t>
      </w:r>
    </w:p>
    <w:p w14:paraId="71AF8B87" w14:textId="77777777" w:rsidR="00A71428" w:rsidRDefault="00000000">
      <w:r>
        <w:t>A person must give financial advice “in the ordinary course of business” to constitute “regulated financial advice”.</w:t>
      </w:r>
      <w:r>
        <w:rPr>
          <w:vertAlign w:val="superscript"/>
        </w:rPr>
        <w:footnoteReference w:id="114"/>
      </w:r>
      <w:r>
        <w:t xml:space="preserve"> This requirement addresses only those who make a business and benefit from providing financial advice. Consumers tend to take advice from those closest to them, so this requirement excludes those who give financial advice as a one-off without benefit.</w:t>
      </w:r>
      <w:r>
        <w:rPr>
          <w:vertAlign w:val="superscript"/>
        </w:rPr>
        <w:footnoteReference w:id="115"/>
      </w:r>
      <w:r>
        <w:t xml:space="preserve"> It also prevents the FMC Act from unfeasibly limiting freedom of expression.</w:t>
      </w:r>
    </w:p>
    <w:p w14:paraId="76889ED2" w14:textId="77777777" w:rsidR="00A71428" w:rsidRDefault="00A71428"/>
    <w:p w14:paraId="7241C3F7" w14:textId="77777777" w:rsidR="00A71428" w:rsidRDefault="00000000">
      <w:r>
        <w:t>Scott Yang notes that the FMA, in assessing this element, will likely apply the Interpreting “ordinary course of business” Guideline (</w:t>
      </w:r>
      <w:r>
        <w:rPr>
          <w:i/>
          <w:iCs/>
        </w:rPr>
        <w:t>OCOB Guideline</w:t>
      </w:r>
      <w:r>
        <w:t xml:space="preserve">) from the Anti-Money Laundering and </w:t>
      </w:r>
      <w:r>
        <w:lastRenderedPageBreak/>
        <w:t>Counter Financing of Terrorism Act 2009.</w:t>
      </w:r>
      <w:r>
        <w:rPr>
          <w:vertAlign w:val="superscript"/>
        </w:rPr>
        <w:footnoteReference w:id="116"/>
      </w:r>
      <w:r>
        <w:t xml:space="preserve"> Whether advice is given in the ordinary course of business is a fact-specific analysis, taking into account the scale and extent of each factor on whether an activity is “ordinary” for the business as a whole.</w:t>
      </w:r>
      <w:r>
        <w:rPr>
          <w:vertAlign w:val="superscript"/>
        </w:rPr>
        <w:footnoteReference w:id="117"/>
      </w:r>
      <w:r>
        <w:t xml:space="preserve"> Relevant factors in the OCOB Guideline and its application providing financial advice are set out below:</w:t>
      </w:r>
      <w:r>
        <w:rPr>
          <w:vertAlign w:val="superscript"/>
        </w:rPr>
        <w:footnoteReference w:id="118"/>
      </w:r>
    </w:p>
    <w:p w14:paraId="6007C74D" w14:textId="77777777" w:rsidR="00A71428" w:rsidRDefault="00000000">
      <w:pPr>
        <w:numPr>
          <w:ilvl w:val="0"/>
          <w:numId w:val="4"/>
        </w:numPr>
      </w:pPr>
      <w:r>
        <w:t>Normal or otherwise unremarkable;</w:t>
      </w:r>
    </w:p>
    <w:p w14:paraId="2575B675" w14:textId="77777777" w:rsidR="00A71428" w:rsidRDefault="00000000">
      <w:r>
        <w:t xml:space="preserve">This factor is relevant for finfluencers who have built a brand around their investment journey and giving financial advice. </w:t>
      </w:r>
    </w:p>
    <w:p w14:paraId="2FE5660B" w14:textId="77777777" w:rsidR="00A71428" w:rsidRDefault="00000000">
      <w:pPr>
        <w:numPr>
          <w:ilvl w:val="0"/>
          <w:numId w:val="4"/>
        </w:numPr>
      </w:pPr>
      <w:r>
        <w:t>Frequent;</w:t>
      </w:r>
    </w:p>
    <w:p w14:paraId="0E888F0A" w14:textId="77777777" w:rsidR="00A71428" w:rsidRDefault="00000000">
      <w:r>
        <w:t>A high output of videos or posts providing financial advice will make the activity an ordinary part of business, for example, weekly livestreamed Q&amp;As.</w:t>
      </w:r>
    </w:p>
    <w:p w14:paraId="27E41A59" w14:textId="77777777" w:rsidR="00A71428" w:rsidRDefault="00000000">
      <w:pPr>
        <w:numPr>
          <w:ilvl w:val="0"/>
          <w:numId w:val="4"/>
        </w:numPr>
      </w:pPr>
      <w:r>
        <w:t>Regular;</w:t>
      </w:r>
    </w:p>
    <w:p w14:paraId="74D38625" w14:textId="77777777" w:rsidR="00A71428" w:rsidRDefault="00000000">
      <w:r>
        <w:t xml:space="preserve">Regularity captures activities undertaken infrequently but uniformly. Someone who annually updates their viewers on their investment portfolio meets this element as their activity is infrequent but regular. </w:t>
      </w:r>
    </w:p>
    <w:p w14:paraId="71CE3405" w14:textId="77777777" w:rsidR="00A71428" w:rsidRDefault="00000000">
      <w:pPr>
        <w:numPr>
          <w:ilvl w:val="0"/>
          <w:numId w:val="4"/>
        </w:numPr>
      </w:pPr>
      <w:r>
        <w:t>Is a source of income; and</w:t>
      </w:r>
    </w:p>
    <w:p w14:paraId="0EAEAA51" w14:textId="77777777" w:rsidR="00A71428" w:rsidRDefault="00000000">
      <w:r>
        <w:t>Viewer statistics, sponsorship figures and earnings from posts and content, or direct payments from viewers for educational courses, will contribute to this factor. Whilst most influencers earn very little, low-value activities are still relevant to the assessment.</w:t>
      </w:r>
      <w:r>
        <w:rPr>
          <w:vertAlign w:val="superscript"/>
        </w:rPr>
        <w:footnoteReference w:id="119"/>
      </w:r>
    </w:p>
    <w:p w14:paraId="5DC89AB3" w14:textId="77777777" w:rsidR="00A71428" w:rsidRDefault="00000000">
      <w:pPr>
        <w:numPr>
          <w:ilvl w:val="0"/>
          <w:numId w:val="4"/>
        </w:numPr>
      </w:pPr>
      <w:r>
        <w:t>Involves a significant allocation of resources.</w:t>
      </w:r>
    </w:p>
    <w:p w14:paraId="73E3A47C" w14:textId="77777777" w:rsidR="00A71428" w:rsidRDefault="00000000">
      <w:r>
        <w:t>This factor considers the time and money spent to produce financial advice content.</w:t>
      </w:r>
      <w:r>
        <w:rPr>
          <w:vertAlign w:val="superscript"/>
        </w:rPr>
        <w:footnoteReference w:id="120"/>
      </w:r>
      <w:r>
        <w:t xml:space="preserve"> </w:t>
      </w:r>
    </w:p>
    <w:p w14:paraId="7F2A129E" w14:textId="77777777" w:rsidR="00A71428" w:rsidRDefault="00A71428"/>
    <w:p w14:paraId="0C19350F" w14:textId="77777777" w:rsidR="00A71428" w:rsidRDefault="00000000">
      <w:r>
        <w:t xml:space="preserve">For example, the Federal Court of Australia in </w:t>
      </w:r>
      <w:r>
        <w:rPr>
          <w:i/>
          <w:iCs/>
        </w:rPr>
        <w:t>ASIC v Scholz (No 2)</w:t>
      </w:r>
      <w:r>
        <w:t xml:space="preserve"> found Scholz ran financial services business because his advice “formed part of the continuous and systemic business </w:t>
      </w:r>
      <w:r>
        <w:lastRenderedPageBreak/>
        <w:t>operations by which Mr Scholz derived profit”.</w:t>
      </w:r>
      <w:r>
        <w:rPr>
          <w:vertAlign w:val="superscript"/>
        </w:rPr>
        <w:footnoteReference w:id="121"/>
      </w:r>
      <w:r>
        <w:t xml:space="preserve"> Scholz ran an Instagram where he held himself out as a successful share trader on the Australian Securities Exchange, recommending shares of listed companies on his Instagram Stories (posts which expire within 24 hours) and ran seminars to teach paying attendees how to trade. Ultimately, people who build a brand around and earn an income from giving financial advice will meet the ordinary course of business element.</w:t>
      </w:r>
    </w:p>
    <w:p w14:paraId="3E152517" w14:textId="77777777" w:rsidR="00A71428" w:rsidRDefault="00A71428"/>
    <w:p w14:paraId="4C3CB660" w14:textId="77777777" w:rsidR="00A71428" w:rsidRDefault="00000000">
      <w:pPr>
        <w:pStyle w:val="Heading4"/>
        <w:ind w:firstLine="280"/>
      </w:pPr>
      <w:bookmarkStart w:id="28" w:name="_heading=h.md659fx3p0jm" w:colFirst="0" w:colLast="0"/>
      <w:bookmarkEnd w:id="28"/>
      <w:r>
        <w:t xml:space="preserve">(d) Exclusions </w:t>
      </w:r>
    </w:p>
    <w:p w14:paraId="502D649B" w14:textId="77777777" w:rsidR="00A71428" w:rsidRDefault="00000000">
      <w:r>
        <w:t>Clause 8 of Schedule 5 prescribes occupations where giving financial advice in that occupation is not regulated financial advice. A finfluencer could argue that they:</w:t>
      </w:r>
    </w:p>
    <w:p w14:paraId="78795F14" w14:textId="77777777" w:rsidR="00A71428" w:rsidRDefault="00000000">
      <w:pPr>
        <w:numPr>
          <w:ilvl w:val="0"/>
          <w:numId w:val="5"/>
        </w:numPr>
      </w:pPr>
      <w:r>
        <w:t xml:space="preserve">Are a journalist, lecturer, or teacher; and </w:t>
      </w:r>
    </w:p>
    <w:p w14:paraId="63417B20" w14:textId="77777777" w:rsidR="00A71428" w:rsidRDefault="00000000">
      <w:pPr>
        <w:numPr>
          <w:ilvl w:val="0"/>
          <w:numId w:val="5"/>
        </w:numPr>
      </w:pPr>
      <w:r>
        <w:t>Give the advice “in the ordinary course of carrying on that occupation”; and</w:t>
      </w:r>
    </w:p>
    <w:p w14:paraId="621D5403" w14:textId="77777777" w:rsidR="00A71428" w:rsidRDefault="00000000">
      <w:pPr>
        <w:numPr>
          <w:ilvl w:val="0"/>
          <w:numId w:val="5"/>
        </w:numPr>
      </w:pPr>
      <w:r>
        <w:t>Give the advice as “an ancillary part of carrying on that principal activity of that occupation, being an activity that is not the provision of a financial service”.</w:t>
      </w:r>
      <w:r>
        <w:rPr>
          <w:vertAlign w:val="superscript"/>
        </w:rPr>
        <w:footnoteReference w:id="122"/>
      </w:r>
    </w:p>
    <w:p w14:paraId="1A2CEBAE" w14:textId="77777777" w:rsidR="00A71428" w:rsidRDefault="00000000">
      <w:r>
        <w:t>A lecturer is defined as a person employed by an institution to teach or instruct students of the institution.</w:t>
      </w:r>
      <w:r>
        <w:rPr>
          <w:vertAlign w:val="superscript"/>
        </w:rPr>
        <w:footnoteReference w:id="123"/>
      </w:r>
      <w:r>
        <w:t xml:space="preserve"> A teacher must be a person who is registered with the New Zealand Teaching Council.</w:t>
      </w:r>
      <w:r>
        <w:rPr>
          <w:vertAlign w:val="superscript"/>
        </w:rPr>
        <w:footnoteReference w:id="124"/>
      </w:r>
      <w:r>
        <w:t xml:space="preserve"> An argument on any of these grounds is unlikely to succeed. Scott Yang contends a finfluencer is unlikely to meet the exclusion for journalists as news dissemination is their principal activity, rather than the provision of financial advice.</w:t>
      </w:r>
      <w:r>
        <w:rPr>
          <w:vertAlign w:val="superscript"/>
        </w:rPr>
        <w:footnoteReference w:id="125"/>
      </w:r>
      <w:r>
        <w:t xml:space="preserve"> </w:t>
      </w:r>
    </w:p>
    <w:p w14:paraId="485A3DF7" w14:textId="77777777" w:rsidR="00A71428" w:rsidRDefault="00A71428"/>
    <w:p w14:paraId="4907F8B5" w14:textId="77777777" w:rsidR="00A71428" w:rsidRDefault="00000000">
      <w:r>
        <w:t>Clauses 9 to 18 of Schedule 5 exclude services where the provision of financial advice is ancillary to another primary function, such as credit provision, trustee corporations, Crown-related entities, and workplace schemes. These exclusions are not relevant to finfluencers.</w:t>
      </w:r>
    </w:p>
    <w:p w14:paraId="51DD18A3" w14:textId="77777777" w:rsidR="00A71428" w:rsidRDefault="00A71428"/>
    <w:p w14:paraId="2A06F9BC" w14:textId="77777777" w:rsidR="00A71428" w:rsidRDefault="00000000">
      <w:pPr>
        <w:pStyle w:val="Heading4"/>
        <w:ind w:firstLine="280"/>
      </w:pPr>
      <w:bookmarkStart w:id="29" w:name="_heading=h.g2rchelmeae4" w:colFirst="0" w:colLast="0"/>
      <w:bookmarkEnd w:id="29"/>
      <w:r>
        <w:lastRenderedPageBreak/>
        <w:t xml:space="preserve">(e) Disclaimers </w:t>
      </w:r>
    </w:p>
    <w:p w14:paraId="68A776F0" w14:textId="77777777" w:rsidR="00A71428" w:rsidRDefault="00000000">
      <w:r>
        <w:t>Finally, disclaimers of liability do not exempt finfluencers from the scope of regulated financial advice. The FMA has explicitly stated that the disclaimers do not have legal effect.</w:t>
      </w:r>
      <w:r>
        <w:rPr>
          <w:vertAlign w:val="superscript"/>
        </w:rPr>
        <w:footnoteReference w:id="126"/>
      </w:r>
      <w:r>
        <w:t xml:space="preserve"> The Financial Advisors Act 2008, also stated “whether or not the advice is financial advice is not affected by how the advice is given or communicated”,</w:t>
      </w:r>
      <w:r>
        <w:rPr>
          <w:vertAlign w:val="superscript"/>
        </w:rPr>
        <w:footnoteReference w:id="127"/>
      </w:r>
      <w:r>
        <w:t xml:space="preserve"> which indicates whether a communication is financial advice depends on its overall impression.</w:t>
      </w:r>
      <w:r>
        <w:rPr>
          <w:vertAlign w:val="superscript"/>
        </w:rPr>
        <w:footnoteReference w:id="128"/>
      </w:r>
      <w:r>
        <w:t xml:space="preserve"> </w:t>
      </w:r>
    </w:p>
    <w:p w14:paraId="7B8AC6A0" w14:textId="77777777" w:rsidR="00A71428" w:rsidRDefault="00A71428"/>
    <w:p w14:paraId="15F2E87B" w14:textId="77777777" w:rsidR="00A71428" w:rsidRDefault="00000000">
      <w:r>
        <w:t>At the conclusion of this statutory analysis, finfluencers who regularly provide investment advice are likely deemed to be giving regulated financial advice. Accordingly, they must obtain a Financial Advice Provider licence from the FMA. However, four years after the FMA affirmed New Zealand finfluencers had to obtain a licence, this author has identified only one finfluencer out of the ten most-followed New Zealand finfluencers who has registered as a professional financial adviser on the Financial Services Provider Register.</w:t>
      </w:r>
    </w:p>
    <w:p w14:paraId="22CD7001" w14:textId="77777777" w:rsidR="00A71428" w:rsidRDefault="00A71428"/>
    <w:p w14:paraId="3E4EAE7B" w14:textId="77777777" w:rsidR="00A71428" w:rsidRDefault="00000000">
      <w:pPr>
        <w:pStyle w:val="Heading3"/>
      </w:pPr>
      <w:bookmarkStart w:id="30" w:name="_heading=h.3orcv7eh1p5z" w:colFirst="0" w:colLast="0"/>
      <w:bookmarkEnd w:id="30"/>
      <w:r>
        <w:t>2 Licensing Ambiguity</w:t>
      </w:r>
    </w:p>
    <w:p w14:paraId="6B886F89" w14:textId="77777777" w:rsidR="00A71428" w:rsidRDefault="00000000">
      <w:r>
        <w:t xml:space="preserve">The four-step test to establish “regulated financial advice”, being (1) financial advice (2) given in the ordinary course of business (3) to retail clients and (4) is not a statutory exclusion, is highly fact-specific. The first and second steps make it difficult to determine whether finfluencers are providing regulated financial advice and whether they are required to obtain a FAP licence. Even if well-intentioned finfluencers were to licence, they lack the client-to-adviser relationships necessary to uphold certain duties in the FMC Act and the code of conduct required of licensees. This subsection highlights the challenges associated with applying the current financial advice regime to finfluencers. </w:t>
      </w:r>
    </w:p>
    <w:p w14:paraId="6C2BC637" w14:textId="77777777" w:rsidR="00A71428" w:rsidRDefault="00A71428"/>
    <w:p w14:paraId="666017F3" w14:textId="77777777" w:rsidR="00A71428" w:rsidRDefault="00000000">
      <w:pPr>
        <w:pStyle w:val="Heading4"/>
        <w:ind w:left="0" w:firstLine="720"/>
      </w:pPr>
      <w:bookmarkStart w:id="31" w:name="_heading=h.oe214eo52scc" w:colFirst="0" w:colLast="0"/>
      <w:bookmarkEnd w:id="31"/>
      <w:r>
        <w:lastRenderedPageBreak/>
        <w:t>(a) Financial advice versus factual information</w:t>
      </w:r>
    </w:p>
    <w:p w14:paraId="0F83BBBE" w14:textId="77777777" w:rsidR="00A71428" w:rsidRDefault="00000000">
      <w:r>
        <w:t>The primary issue with the definitional ambiguity of “financial advice” is how ordinary people, as both consumers and producers of financial advice, interpret whether finfluencers who give financial advice must be licensed. People’s natural speech patterns cross between opinions and factual statements in communication. This results in creators being unsure of what they can express on social media, such as whether they can share their investment portfolio without it being construed as financial advice.</w:t>
      </w:r>
      <w:r>
        <w:rPr>
          <w:vertAlign w:val="superscript"/>
        </w:rPr>
        <w:footnoteReference w:id="129"/>
      </w:r>
      <w:r>
        <w:t xml:space="preserve"> The Australian Securities and Investment Commission (</w:t>
      </w:r>
      <w:r>
        <w:rPr>
          <w:i/>
          <w:iCs/>
        </w:rPr>
        <w:t>ASIC</w:t>
      </w:r>
      <w:r>
        <w:t>), in a private briefing in 2022, warned finfluencers that whether communication became financial advice depended on “the extent of [the person’s] involvement in making a transaction happen”.</w:t>
      </w:r>
      <w:r>
        <w:rPr>
          <w:vertAlign w:val="superscript"/>
        </w:rPr>
        <w:footnoteReference w:id="130"/>
      </w:r>
      <w:r>
        <w:t xml:space="preserve"> When asked whether finfluencers could talk about their personal investment portfolio, the regulator responded that even showing it to viewers could amount to financial advice as it could be “reasonably regarded as intending to influence one of [their] followers to buy or sell a financial product.”</w:t>
      </w:r>
      <w:r>
        <w:rPr>
          <w:vertAlign w:val="superscript"/>
        </w:rPr>
        <w:footnoteReference w:id="131"/>
      </w:r>
      <w:r>
        <w:t xml:space="preserve"> A clear stance is preferable so finfluencers understand whether they need to license and whether they are complying with the law. </w:t>
      </w:r>
    </w:p>
    <w:p w14:paraId="4BC6222B" w14:textId="77777777" w:rsidR="00A71428" w:rsidRDefault="00000000">
      <w:r>
        <w:t xml:space="preserve"> </w:t>
      </w:r>
    </w:p>
    <w:p w14:paraId="0B19A3AA" w14:textId="77777777" w:rsidR="00A71428" w:rsidRDefault="00000000">
      <w:r>
        <w:t xml:space="preserve">The FMA Guide and the FMC Act invite finfluencers to make overly technical distinctions between financial advice and information. However, the trigger for licensing is actually whether someone gives “regulated financial advice”. As outlined in the previous subsection, the test is highly context-specific, where the communication must constitute financial advice (as opposed to factual information) and whether the finfluencer provides it in the ordinary course of business. The FMA Guide exacerbates this ambiguity by leaving out the latter requirement entirely. It only discusses examples of communication which “would be OK” against examples that “would likely cross the line” and constitute financial advice. </w:t>
      </w:r>
    </w:p>
    <w:p w14:paraId="71A874A4" w14:textId="77777777" w:rsidR="00A71428" w:rsidRDefault="00A71428"/>
    <w:p w14:paraId="668FA725" w14:textId="77777777" w:rsidR="00A71428" w:rsidRDefault="00000000">
      <w:r>
        <w:lastRenderedPageBreak/>
        <w:t>Furthermore, the examples are rather obvious and do not demonstrate the blurred distinction between information and financial advice, as shown in the table below. The first two columns are excerpted from the Guide; the third column is the dissertation’s addition to demonstrate how factual information can naturally give a recommendation or opinion:</w:t>
      </w:r>
    </w:p>
    <w:p w14:paraId="300C221D" w14:textId="77777777" w:rsidR="00A71428" w:rsidRDefault="00A71428"/>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785"/>
        <w:gridCol w:w="5775"/>
      </w:tblGrid>
      <w:tr w:rsidR="00A71428" w14:paraId="4B42CB4D" w14:textId="77777777">
        <w:tc>
          <w:tcPr>
            <w:tcW w:w="1800" w:type="dxa"/>
            <w:tcMar>
              <w:top w:w="100" w:type="dxa"/>
              <w:left w:w="100" w:type="dxa"/>
              <w:bottom w:w="100" w:type="dxa"/>
              <w:right w:w="100" w:type="dxa"/>
            </w:tcMar>
          </w:tcPr>
          <w:p w14:paraId="5C858D0C" w14:textId="77777777" w:rsidR="00A71428" w:rsidRDefault="00000000">
            <w:pPr>
              <w:widowControl w:val="0"/>
              <w:spacing w:line="240" w:lineRule="auto"/>
              <w:jc w:val="left"/>
              <w:rPr>
                <w:b/>
                <w:bCs/>
              </w:rPr>
            </w:pPr>
            <w:r>
              <w:rPr>
                <w:b/>
                <w:bCs/>
              </w:rPr>
              <w:t>“This would be OK”</w:t>
            </w:r>
          </w:p>
        </w:tc>
        <w:tc>
          <w:tcPr>
            <w:tcW w:w="1785" w:type="dxa"/>
            <w:tcMar>
              <w:top w:w="100" w:type="dxa"/>
              <w:left w:w="100" w:type="dxa"/>
              <w:bottom w:w="100" w:type="dxa"/>
              <w:right w:w="100" w:type="dxa"/>
            </w:tcMar>
          </w:tcPr>
          <w:p w14:paraId="0A80EF63" w14:textId="77777777" w:rsidR="00A71428" w:rsidRDefault="00000000">
            <w:pPr>
              <w:widowControl w:val="0"/>
              <w:spacing w:line="240" w:lineRule="auto"/>
              <w:jc w:val="left"/>
              <w:rPr>
                <w:b/>
                <w:bCs/>
              </w:rPr>
            </w:pPr>
            <w:r>
              <w:rPr>
                <w:b/>
                <w:bCs/>
              </w:rPr>
              <w:t>“But this would likely cross the line”</w:t>
            </w:r>
          </w:p>
        </w:tc>
        <w:tc>
          <w:tcPr>
            <w:tcW w:w="5775" w:type="dxa"/>
            <w:tcMar>
              <w:top w:w="100" w:type="dxa"/>
              <w:left w:w="100" w:type="dxa"/>
              <w:bottom w:w="100" w:type="dxa"/>
              <w:right w:w="100" w:type="dxa"/>
            </w:tcMar>
          </w:tcPr>
          <w:p w14:paraId="0F6C5D45" w14:textId="77777777" w:rsidR="00A71428" w:rsidRDefault="00000000">
            <w:pPr>
              <w:widowControl w:val="0"/>
              <w:pBdr>
                <w:top w:val="nil"/>
                <w:left w:val="nil"/>
                <w:bottom w:val="nil"/>
                <w:right w:val="nil"/>
                <w:between w:val="nil"/>
              </w:pBdr>
              <w:spacing w:line="240" w:lineRule="auto"/>
              <w:jc w:val="left"/>
              <w:rPr>
                <w:b/>
                <w:bCs/>
              </w:rPr>
            </w:pPr>
            <w:r>
              <w:rPr>
                <w:b/>
                <w:bCs/>
              </w:rPr>
              <w:t>Is this financial advice?</w:t>
            </w:r>
          </w:p>
        </w:tc>
      </w:tr>
      <w:tr w:rsidR="00A71428" w14:paraId="5AC36596" w14:textId="77777777">
        <w:trPr>
          <w:trHeight w:val="440"/>
        </w:trPr>
        <w:tc>
          <w:tcPr>
            <w:tcW w:w="1800" w:type="dxa"/>
            <w:vMerge w:val="restart"/>
            <w:tcMar>
              <w:top w:w="100" w:type="dxa"/>
              <w:left w:w="100" w:type="dxa"/>
              <w:bottom w:w="100" w:type="dxa"/>
              <w:right w:w="100" w:type="dxa"/>
            </w:tcMar>
          </w:tcPr>
          <w:p w14:paraId="5C7E1B64" w14:textId="77777777" w:rsidR="00A71428" w:rsidRDefault="00000000">
            <w:pPr>
              <w:widowControl w:val="0"/>
              <w:pBdr>
                <w:top w:val="nil"/>
                <w:left w:val="nil"/>
                <w:bottom w:val="nil"/>
                <w:right w:val="nil"/>
                <w:between w:val="nil"/>
              </w:pBdr>
              <w:spacing w:line="240" w:lineRule="auto"/>
              <w:jc w:val="left"/>
            </w:pPr>
            <w:r>
              <w:t>“Rather than trying to pick individual shares, you can put your money into a managed fund that will be able to buy a range of investments.”</w:t>
            </w:r>
            <w:r>
              <w:tab/>
            </w:r>
          </w:p>
        </w:tc>
        <w:tc>
          <w:tcPr>
            <w:tcW w:w="1785" w:type="dxa"/>
            <w:vMerge w:val="restart"/>
            <w:tcMar>
              <w:top w:w="100" w:type="dxa"/>
              <w:left w:w="100" w:type="dxa"/>
              <w:bottom w:w="100" w:type="dxa"/>
              <w:right w:w="100" w:type="dxa"/>
            </w:tcMar>
          </w:tcPr>
          <w:p w14:paraId="6CEDC409" w14:textId="77777777" w:rsidR="00A71428" w:rsidRDefault="00000000">
            <w:pPr>
              <w:widowControl w:val="0"/>
              <w:spacing w:line="240" w:lineRule="auto"/>
              <w:jc w:val="left"/>
            </w:pPr>
            <w:r>
              <w:t>“ABC Finance has a great managed fund that buys shares from around the world, they have low fees, so take your money to them.”</w:t>
            </w:r>
          </w:p>
        </w:tc>
        <w:tc>
          <w:tcPr>
            <w:tcW w:w="5775" w:type="dxa"/>
            <w:tcMar>
              <w:top w:w="100" w:type="dxa"/>
              <w:left w:w="100" w:type="dxa"/>
              <w:bottom w:w="100" w:type="dxa"/>
              <w:right w:w="100" w:type="dxa"/>
            </w:tcMar>
          </w:tcPr>
          <w:p w14:paraId="78867F02" w14:textId="77777777" w:rsidR="00A71428" w:rsidRDefault="00000000">
            <w:pPr>
              <w:widowControl w:val="0"/>
              <w:pBdr>
                <w:top w:val="nil"/>
                <w:left w:val="nil"/>
                <w:bottom w:val="nil"/>
                <w:right w:val="nil"/>
                <w:between w:val="nil"/>
              </w:pBdr>
              <w:spacing w:line="240" w:lineRule="auto"/>
              <w:jc w:val="left"/>
            </w:pPr>
            <w:r>
              <w:t>“This is how I’ve invested my first $1000: first, $200 into technology ETFs like ABC Finance’s. In the past five years, it’s been up 118%.”</w:t>
            </w:r>
          </w:p>
        </w:tc>
      </w:tr>
      <w:tr w:rsidR="00A71428" w14:paraId="1143A949" w14:textId="77777777">
        <w:trPr>
          <w:trHeight w:val="440"/>
        </w:trPr>
        <w:tc>
          <w:tcPr>
            <w:tcW w:w="1800" w:type="dxa"/>
            <w:vMerge/>
            <w:tcMar>
              <w:top w:w="100" w:type="dxa"/>
              <w:left w:w="100" w:type="dxa"/>
              <w:bottom w:w="100" w:type="dxa"/>
              <w:right w:w="100" w:type="dxa"/>
            </w:tcMar>
          </w:tcPr>
          <w:p w14:paraId="151D210F" w14:textId="77777777" w:rsidR="00A71428" w:rsidRDefault="00A71428">
            <w:pPr>
              <w:widowControl w:val="0"/>
              <w:pBdr>
                <w:top w:val="nil"/>
                <w:left w:val="nil"/>
                <w:bottom w:val="nil"/>
                <w:right w:val="nil"/>
                <w:between w:val="nil"/>
              </w:pBdr>
              <w:spacing w:line="276" w:lineRule="auto"/>
              <w:jc w:val="left"/>
            </w:pPr>
          </w:p>
        </w:tc>
        <w:tc>
          <w:tcPr>
            <w:tcW w:w="1785" w:type="dxa"/>
            <w:vMerge/>
            <w:tcMar>
              <w:top w:w="100" w:type="dxa"/>
              <w:left w:w="100" w:type="dxa"/>
              <w:bottom w:w="100" w:type="dxa"/>
              <w:right w:w="100" w:type="dxa"/>
            </w:tcMar>
          </w:tcPr>
          <w:p w14:paraId="1989EFB4" w14:textId="77777777" w:rsidR="00A71428" w:rsidRDefault="00A71428">
            <w:pPr>
              <w:widowControl w:val="0"/>
              <w:pBdr>
                <w:top w:val="nil"/>
                <w:left w:val="nil"/>
                <w:bottom w:val="nil"/>
                <w:right w:val="nil"/>
                <w:between w:val="nil"/>
              </w:pBdr>
              <w:spacing w:line="276" w:lineRule="auto"/>
              <w:jc w:val="left"/>
            </w:pPr>
          </w:p>
        </w:tc>
        <w:tc>
          <w:tcPr>
            <w:tcW w:w="5775" w:type="dxa"/>
            <w:tcMar>
              <w:top w:w="100" w:type="dxa"/>
              <w:left w:w="100" w:type="dxa"/>
              <w:bottom w:w="100" w:type="dxa"/>
              <w:right w:w="100" w:type="dxa"/>
            </w:tcMar>
          </w:tcPr>
          <w:p w14:paraId="5BBD8928" w14:textId="77777777" w:rsidR="00A71428" w:rsidRDefault="00000000">
            <w:pPr>
              <w:widowControl w:val="0"/>
              <w:spacing w:line="240" w:lineRule="auto"/>
              <w:jc w:val="left"/>
            </w:pPr>
            <w:r>
              <w:t>“If you’re in your 20s, an aggressive Kiwisaver fund helps you take advantage of your longer time horizon. I use ABC Finance which has the lowest fees.”</w:t>
            </w:r>
          </w:p>
        </w:tc>
      </w:tr>
      <w:tr w:rsidR="00A71428" w14:paraId="4E1EC5ED" w14:textId="77777777">
        <w:trPr>
          <w:trHeight w:val="440"/>
        </w:trPr>
        <w:tc>
          <w:tcPr>
            <w:tcW w:w="1800" w:type="dxa"/>
            <w:vMerge/>
            <w:tcMar>
              <w:top w:w="100" w:type="dxa"/>
              <w:left w:w="100" w:type="dxa"/>
              <w:bottom w:w="100" w:type="dxa"/>
              <w:right w:w="100" w:type="dxa"/>
            </w:tcMar>
          </w:tcPr>
          <w:p w14:paraId="6BC2229E" w14:textId="77777777" w:rsidR="00A71428" w:rsidRDefault="00A71428">
            <w:pPr>
              <w:widowControl w:val="0"/>
              <w:pBdr>
                <w:top w:val="nil"/>
                <w:left w:val="nil"/>
                <w:bottom w:val="nil"/>
                <w:right w:val="nil"/>
                <w:between w:val="nil"/>
              </w:pBdr>
              <w:spacing w:line="276" w:lineRule="auto"/>
              <w:jc w:val="left"/>
            </w:pPr>
          </w:p>
        </w:tc>
        <w:tc>
          <w:tcPr>
            <w:tcW w:w="1785" w:type="dxa"/>
            <w:vMerge/>
            <w:tcMar>
              <w:top w:w="100" w:type="dxa"/>
              <w:left w:w="100" w:type="dxa"/>
              <w:bottom w:w="100" w:type="dxa"/>
              <w:right w:w="100" w:type="dxa"/>
            </w:tcMar>
          </w:tcPr>
          <w:p w14:paraId="11B70415" w14:textId="77777777" w:rsidR="00A71428" w:rsidRDefault="00A71428">
            <w:pPr>
              <w:widowControl w:val="0"/>
              <w:pBdr>
                <w:top w:val="nil"/>
                <w:left w:val="nil"/>
                <w:bottom w:val="nil"/>
                <w:right w:val="nil"/>
                <w:between w:val="nil"/>
              </w:pBdr>
              <w:spacing w:line="276" w:lineRule="auto"/>
              <w:jc w:val="left"/>
            </w:pPr>
          </w:p>
        </w:tc>
        <w:tc>
          <w:tcPr>
            <w:tcW w:w="5775" w:type="dxa"/>
            <w:tcMar>
              <w:top w:w="100" w:type="dxa"/>
              <w:left w:w="100" w:type="dxa"/>
              <w:bottom w:w="100" w:type="dxa"/>
              <w:right w:w="100" w:type="dxa"/>
            </w:tcMar>
          </w:tcPr>
          <w:p w14:paraId="352456B2" w14:textId="77777777" w:rsidR="00A71428" w:rsidRDefault="00000000">
            <w:pPr>
              <w:widowControl w:val="0"/>
              <w:spacing w:line="240" w:lineRule="auto"/>
              <w:jc w:val="left"/>
            </w:pPr>
            <w:r>
              <w:t>“ABC Finance Tech Sector ETF 📈”</w:t>
            </w:r>
          </w:p>
        </w:tc>
      </w:tr>
    </w:tbl>
    <w:p w14:paraId="0D9BF815" w14:textId="77777777" w:rsidR="00A71428" w:rsidRDefault="00A71428"/>
    <w:p w14:paraId="3388EF15" w14:textId="77777777" w:rsidR="00A71428" w:rsidRDefault="00000000">
      <w:r>
        <w:t>While all examples from the third column are factual, they implicitly recommend investing in ABC Finance’s funds as a beneficial course of action for the viewer. The first two examples in the third column illustrate what managed funds are and why the finfluencer prefers those of ABC Finance. The third example often appears in videos where a ticker symbol (e.g. AAPL for Apple) with an increasing graph emoji alongside its stock chart, without any further information. As noted in Part II, finfluencers often link their financial achievements to their personal narratives to build trust with their viewers. These single statements of factual information show most communication by finfluencers are likely financial advice. Therefore, the FMA Guide should state outright that any finfluencer who discusses investments regularly is giving financial advice.</w:t>
      </w:r>
    </w:p>
    <w:p w14:paraId="2748CDF9" w14:textId="77777777" w:rsidR="00A71428" w:rsidRDefault="00A71428"/>
    <w:p w14:paraId="2F129F07" w14:textId="77777777" w:rsidR="00A71428" w:rsidRDefault="00000000">
      <w:r>
        <w:t xml:space="preserve">The Australian Federal Court in </w:t>
      </w:r>
      <w:r>
        <w:rPr>
          <w:i/>
          <w:iCs/>
        </w:rPr>
        <w:t>Scholz</w:t>
      </w:r>
      <w:r>
        <w:t xml:space="preserve"> has further complicated the distinction between financial advice and factual information. The Court found posting Instagram stories that showed the defendant’s purchase of particular shares without directly encouraging followers to purchase them </w:t>
      </w:r>
      <w:r>
        <w:lastRenderedPageBreak/>
        <w:t>was regulated financial advice.</w:t>
      </w:r>
      <w:r>
        <w:rPr>
          <w:vertAlign w:val="superscript"/>
        </w:rPr>
        <w:footnoteReference w:id="132"/>
      </w:r>
      <w:r>
        <w:t xml:space="preserve"> The Court considered the pictures of the shares alone were held to be financial advice because he built a persona as “a successful share trader who had the ability to identify worthwhile companies in which an investment should be made”, and evidence demonstrated he sought to influence his followers to acquire the shares.</w:t>
      </w:r>
      <w:r>
        <w:rPr>
          <w:vertAlign w:val="superscript"/>
        </w:rPr>
        <w:footnoteReference w:id="133"/>
      </w:r>
      <w:r>
        <w:t xml:space="preserve"> This interpretation is consistent with New Zealand’s test for regulated financial advice. It demonstrates that even sharing a finfluencer’s investment portfolio can be regulated financial advice because it influences investors’ investment decisions.</w:t>
      </w:r>
    </w:p>
    <w:p w14:paraId="786B93A6" w14:textId="77777777" w:rsidR="00A71428" w:rsidRDefault="00A71428"/>
    <w:p w14:paraId="520C4BC7" w14:textId="77777777" w:rsidR="00A71428" w:rsidRDefault="00000000">
      <w:pPr>
        <w:pStyle w:val="Heading4"/>
        <w:ind w:left="0" w:firstLine="720"/>
      </w:pPr>
      <w:bookmarkStart w:id="32" w:name="_heading=h.4f82inl89rc4" w:colFirst="0" w:colLast="0"/>
      <w:bookmarkEnd w:id="32"/>
      <w:r>
        <w:t>(b) Omission of the “ordinary course of business”</w:t>
      </w:r>
    </w:p>
    <w:p w14:paraId="3CC3F087" w14:textId="77777777" w:rsidR="00A71428" w:rsidRDefault="00000000">
      <w:r>
        <w:t>Perhaps due to oversight, the FMA Guide does not mention the ordinary course of business requirement when outlining the elements that constitute regulated financial advice. In effect, the omission means that anyone posting a single statement recommending a financial product online, whether through a video or a comment on a forum, may face liability for giving unregulated financial advice. The FMA Guide erroneously stifles free speech and captures a larger pool of people than contemplated by the law.</w:t>
      </w:r>
    </w:p>
    <w:p w14:paraId="43EF3FB6" w14:textId="77777777" w:rsidR="00A71428" w:rsidRDefault="00A71428"/>
    <w:p w14:paraId="4C6C0CB2" w14:textId="77777777" w:rsidR="00A71428" w:rsidRDefault="00000000">
      <w:pPr>
        <w:pStyle w:val="Heading4"/>
        <w:ind w:left="0" w:firstLine="720"/>
      </w:pPr>
      <w:bookmarkStart w:id="33" w:name="_heading=h.cr0edi8u5owe" w:colFirst="0" w:colLast="0"/>
      <w:bookmarkEnd w:id="33"/>
      <w:r>
        <w:t>(c) Clients or viewers?</w:t>
      </w:r>
    </w:p>
    <w:p w14:paraId="682FF1DC" w14:textId="77777777" w:rsidR="00A71428" w:rsidRDefault="00000000">
      <w:r>
        <w:t>Equating the relationship of a client to a professional to that between a viewer to finfluencer and overlaying the financial advice regime on finfluencer activity creates significant compliance gaps. The FMC Act’s vocabulary only refers to “clients”. A viewer is “a person watching … a video on the internet”.</w:t>
      </w:r>
      <w:r>
        <w:rPr>
          <w:vertAlign w:val="superscript"/>
        </w:rPr>
        <w:footnoteReference w:id="134"/>
      </w:r>
      <w:r>
        <w:t xml:space="preserve"> Conversely, a client is “a person or organisation using the services of a … professional person or company”.</w:t>
      </w:r>
      <w:r>
        <w:rPr>
          <w:vertAlign w:val="superscript"/>
        </w:rPr>
        <w:footnoteReference w:id="135"/>
      </w:r>
      <w:r>
        <w:t xml:space="preserve"> These definitions indicate clear differences in the nature of their occupations with their end users. First, the regime’s assumptions of proximity, trust, and professional accountability are ill-suited to finfluencers, who operate through impersonal mass communication. Ordinarily, clients of financial advisers have recourse against poor or misleading </w:t>
      </w:r>
      <w:r>
        <w:lastRenderedPageBreak/>
        <w:t>financial advice through a dispute resolution scheme and in negligence. However, it is unclear whether viewers of finfluencers can use these resources.</w:t>
      </w:r>
    </w:p>
    <w:p w14:paraId="125E8607" w14:textId="77777777" w:rsidR="00A71428" w:rsidRDefault="00A71428"/>
    <w:p w14:paraId="4F486CBF" w14:textId="77777777" w:rsidR="00A71428" w:rsidRDefault="00000000">
      <w:r>
        <w:t xml:space="preserve">The FMC Act does not contemplate that finfluencers face different incentives compared to financial advisers. Clients directly pay financial advisers; financial advisers are incentivised to forge an ongoing relationship and recommend investments which outperform the market. Conversely, finfluencers monetise their audience through advertising, commission-based remuneration for product sales, or converting followers into paying subscribers for self-created educational courses. </w:t>
      </w:r>
    </w:p>
    <w:p w14:paraId="2880A9B0" w14:textId="77777777" w:rsidR="00A71428" w:rsidRDefault="00A71428"/>
    <w:p w14:paraId="6AFA97A8" w14:textId="77777777" w:rsidR="00A71428" w:rsidRDefault="00000000">
      <w:r>
        <w:t>Furthermore, equating viewers and clients implies that finfluencers choose their clients and the laws to which they are subject. Under the FMC Act, anyone offering financial advice to New Zealand residents is subject to New Zealand law, irrespective of their home jurisdiction or intent.</w:t>
      </w:r>
      <w:r>
        <w:rPr>
          <w:vertAlign w:val="superscript"/>
        </w:rPr>
        <w:footnoteReference w:id="136"/>
      </w:r>
      <w:r>
        <w:t xml:space="preserve"> However, social media algorithms control the dissemination of their content, meaning many finfluencers active in New Zealand are based overseas. Effectively, all finfluencers seen on New Zealand screens have breached the FMC Act by operating without a licence. </w:t>
      </w:r>
    </w:p>
    <w:p w14:paraId="2A98F641" w14:textId="77777777" w:rsidR="00A71428" w:rsidRDefault="00A71428"/>
    <w:p w14:paraId="492BD695" w14:textId="77777777" w:rsidR="00A71428" w:rsidRDefault="00000000">
      <w:r>
        <w:t>Finally, it is unclear whether viewers have recourse in negligence or negligent misstatement against finfluencers, as clients do against financial advisers. Courts have recognised a duty of care between financial advisers and their clients, and in some cases, have extended this duty to banks where advice was given in an informal advisory capacity.</w:t>
      </w:r>
      <w:r>
        <w:rPr>
          <w:vertAlign w:val="superscript"/>
        </w:rPr>
        <w:footnoteReference w:id="137"/>
      </w:r>
      <w:r>
        <w:t xml:space="preserve"> In the context of finfluencers, the court would need to establish a new duty of care when finfluencers provide financial advice to their viewers. Finding a duty requires the defendant’s harm to be "reasonably foreseeable", “proximity" between the defendant and the claimant, and it must be "fair, just and reasonable" to impose liability.</w:t>
      </w:r>
      <w:r>
        <w:rPr>
          <w:vertAlign w:val="superscript"/>
        </w:rPr>
        <w:footnoteReference w:id="138"/>
      </w:r>
      <w:r>
        <w:t xml:space="preserve"> While English case law has recognised a duty between a financial services </w:t>
      </w:r>
      <w:r>
        <w:lastRenderedPageBreak/>
        <w:t>provider explaining an investment product to an inexperienced customer who reasonably relies on the provider in a one-on-one discussion,</w:t>
      </w:r>
      <w:r>
        <w:rPr>
          <w:vertAlign w:val="superscript"/>
        </w:rPr>
        <w:footnoteReference w:id="139"/>
      </w:r>
      <w:r>
        <w:t xml:space="preserve"> such reliance online is difficult to prove.</w:t>
      </w:r>
      <w:r>
        <w:rPr>
          <w:vertAlign w:val="superscript"/>
        </w:rPr>
        <w:footnoteReference w:id="140"/>
      </w:r>
      <w:r>
        <w:t xml:space="preserve"> The absence of a direct adviser–client relationship, coupled with the diffuse and anonymous nature of online audiences, renders the requisite proximity element difficult to prove. Consequently, viewers who suffer loss as a result of following poor or misleading online financial content currently have little to no recourse under common law.</w:t>
      </w:r>
    </w:p>
    <w:p w14:paraId="31D3EA19" w14:textId="77777777" w:rsidR="00A71428" w:rsidRDefault="00A71428"/>
    <w:p w14:paraId="29C87E00" w14:textId="77777777" w:rsidR="00A71428" w:rsidRDefault="00000000">
      <w:pPr>
        <w:pStyle w:val="Heading4"/>
        <w:ind w:firstLine="280"/>
      </w:pPr>
      <w:bookmarkStart w:id="34" w:name="_heading=h.g9lb4nlxj71i" w:colFirst="0" w:colLast="0"/>
      <w:bookmarkEnd w:id="34"/>
      <w:r>
        <w:t>(d) Statutory duties and the Code of Professional Conduct for Financial Advice Services</w:t>
      </w:r>
    </w:p>
    <w:p w14:paraId="0B969354" w14:textId="77777777" w:rsidR="00A71428" w:rsidRDefault="00000000">
      <w:r>
        <w:t>All persons giving regulated financial advice to retail investors must act in accordance with the statutory duties in sections 431I to 431P.</w:t>
      </w:r>
      <w:r>
        <w:rPr>
          <w:vertAlign w:val="superscript"/>
        </w:rPr>
        <w:footnoteReference w:id="141"/>
      </w:r>
      <w:r>
        <w:t xml:space="preserve"> Compliance with the duties is necessary even if the person does not hold a FAP licence.</w:t>
      </w:r>
      <w:r>
        <w:rPr>
          <w:vertAlign w:val="superscript"/>
        </w:rPr>
        <w:footnoteReference w:id="142"/>
      </w:r>
      <w:r>
        <w:t xml:space="preserve"> Broadly, the duties require the person giving advice to uphold professional standards, prioritise the client’s best interests, ensure clarity and transparency of information, and comply with the Code of Conduct. It mandates the standards of professional conduct expected of persons who give regulated financial advice.</w:t>
      </w:r>
      <w:r>
        <w:rPr>
          <w:vertAlign w:val="superscript"/>
        </w:rPr>
        <w:footnoteReference w:id="143"/>
      </w:r>
      <w:r>
        <w:t xml:space="preserve"> </w:t>
      </w:r>
    </w:p>
    <w:p w14:paraId="2A9EC260" w14:textId="77777777" w:rsidR="00A71428" w:rsidRDefault="00A71428"/>
    <w:p w14:paraId="2793B3F2" w14:textId="77777777" w:rsidR="00A71428" w:rsidRDefault="00000000">
      <w:r>
        <w:t xml:space="preserve">The Code of Conduct is divided into two parts; the first outlines five duties related to ethical behaviour, conduct, and client care. The second part, Code Standards 6 to 9, outlines four minimum duties for competence, knowledge, and skill. Financial advisers must attain a minimum of a Level 5 New Zealand Certificate in Financial Services to provide financial advice and undertake continuing professional development annually. </w:t>
      </w:r>
    </w:p>
    <w:p w14:paraId="686B00EF" w14:textId="77777777" w:rsidR="00A71428" w:rsidRDefault="00A71428"/>
    <w:p w14:paraId="6C0FCF9A" w14:textId="77777777" w:rsidR="00A71428" w:rsidRDefault="00000000">
      <w:r>
        <w:t xml:space="preserve">The broad issue across statutory duties and the Code of Conduct is that finfluencers do not have the same personal relationships with viewers as professional advisers and clients. The FMC Act </w:t>
      </w:r>
      <w:r>
        <w:lastRenderedPageBreak/>
        <w:t>imposes duties only between advisers and clients, likely because legislators assumed it was the only context where financial advice can be given.</w:t>
      </w:r>
      <w:r>
        <w:rPr>
          <w:vertAlign w:val="superscript"/>
        </w:rPr>
        <w:footnoteReference w:id="144"/>
      </w:r>
      <w:r>
        <w:t xml:space="preserve"> Finfluencing has only two barriers to entry: a device with an internet connection and a social media account. Anyone can credibly give financial advice to an online audience due to social media algorithms. However, duties like giving priority to the viewer’s best interests are impossible where the identity of the client is unknown to the adviser. Posting content on TikTok is intended for the world at large, not just their follower base, meaning finfluencers are often unaware of the identities of their recipients. </w:t>
      </w:r>
    </w:p>
    <w:p w14:paraId="359C2DAC" w14:textId="77777777" w:rsidR="00A71428" w:rsidRDefault="00A71428"/>
    <w:p w14:paraId="4390FA86" w14:textId="77777777" w:rsidR="00A71428" w:rsidRDefault="00000000">
      <w:r>
        <w:t>For example, Code Standard 1 on treating clients fairly is inapplicable to a finfluencer who broadcasts content to the general public and cannot respond to individual viewers’ concerns and preferences, as professional advisers must. Viewers receive the content on the basis that it is impersonal and seek it in this format.</w:t>
      </w:r>
      <w:r>
        <w:rPr>
          <w:vertAlign w:val="superscript"/>
        </w:rPr>
        <w:footnoteReference w:id="145"/>
      </w:r>
      <w:r>
        <w:t xml:space="preserve"> </w:t>
      </w:r>
    </w:p>
    <w:p w14:paraId="2BE7B4C2" w14:textId="77777777" w:rsidR="00A71428" w:rsidRDefault="00A71428"/>
    <w:p w14:paraId="730E344A" w14:textId="77777777" w:rsidR="00A71428" w:rsidRDefault="00000000">
      <w:r>
        <w:t>Code Standard 2 on acting with integrity requires finfluencers to avoid or appropriately manage any conflicts of interest in a similar manner to professional financial advisers.</w:t>
      </w:r>
      <w:r>
        <w:rPr>
          <w:vertAlign w:val="superscript"/>
        </w:rPr>
        <w:footnoteReference w:id="146"/>
      </w:r>
      <w:r>
        <w:t xml:space="preserve"> This simply requires labelling sponsored content as an advertisement or communicating how they are remunerated to their audience when giving a recommendation.</w:t>
      </w:r>
      <w:r>
        <w:rPr>
          <w:vertAlign w:val="superscript"/>
        </w:rPr>
        <w:footnoteReference w:id="147"/>
      </w:r>
      <w:r>
        <w:t xml:space="preserve"> Other material information that should be disclosed to help recipients understand the recommendation’s limitations to assist in making an informed decision is the finfluencers’ financial interests in the advertising and their qualifications for providing financial advice. This duty mirrors the soft law mechanism of the Financial Advertising Code discussed in the next paragraph. </w:t>
      </w:r>
    </w:p>
    <w:p w14:paraId="02F8F578" w14:textId="77777777" w:rsidR="00A71428" w:rsidRDefault="00A71428"/>
    <w:p w14:paraId="23EDB65E" w14:textId="77777777" w:rsidR="00A71428" w:rsidRDefault="00000000">
      <w:r>
        <w:t xml:space="preserve">Code Standards 3 through 5 assume a direct relationship between the adviser and client and cannot be fulfilled by finfluencers. Code Standard 3 consists of dual responsibilities of understanding the client’s circumstances to tailor advice to the client’s financial situation, needs, goals, and risk </w:t>
      </w:r>
      <w:r>
        <w:lastRenderedPageBreak/>
        <w:t>tolerance.</w:t>
      </w:r>
      <w:r>
        <w:rPr>
          <w:vertAlign w:val="superscript"/>
        </w:rPr>
        <w:footnoteReference w:id="148"/>
      </w:r>
      <w:r>
        <w:t xml:space="preserve"> Code Standard 4, which requires the client’s understanding, stipulates that the person giving financial advice must take reasonable steps to ensure the client understands the nature and scope of the advice being provided, including any limitations on the nature and scope of the advice. Code Standard 5 requires protecting client information; evidently, without a personal relationship, viewers do not exchange personal information with finfluencers.</w:t>
      </w:r>
    </w:p>
    <w:p w14:paraId="7179E959" w14:textId="77777777" w:rsidR="00A71428" w:rsidRDefault="00A71428"/>
    <w:p w14:paraId="6CF9EAD3" w14:textId="77777777" w:rsidR="00A71428" w:rsidRDefault="00000000">
      <w:r>
        <w:t>Regardless of the current rate of compliance, ethical and competency standards are important for consumer protection and the integrity of and confidence in financial markets. These Code Standards act as a reference point to assess the appropriate standard of care expected between financial advisers and their clients.</w:t>
      </w:r>
      <w:r>
        <w:rPr>
          <w:vertAlign w:val="superscript"/>
        </w:rPr>
        <w:footnoteReference w:id="149"/>
      </w:r>
      <w:r>
        <w:t xml:space="preserve"> They are relevant to the extent they inform the overall duty of care, but have not given rise to individual torts.</w:t>
      </w:r>
      <w:r>
        <w:rPr>
          <w:vertAlign w:val="superscript"/>
        </w:rPr>
        <w:footnoteReference w:id="150"/>
      </w:r>
      <w:r>
        <w:t xml:space="preserve"> While New Zealand courts have not established an equivalent duty of care between finfluencers and their viewers, a fulfillable Code of Conduct for finfluencers will hold them to specific competency standards, rather than purporting to do so. </w:t>
      </w:r>
    </w:p>
    <w:p w14:paraId="4AB28548" w14:textId="77777777" w:rsidR="00A71428" w:rsidRDefault="00A71428"/>
    <w:p w14:paraId="3DAFF2E6" w14:textId="77777777" w:rsidR="00A71428" w:rsidRDefault="00000000">
      <w:pPr>
        <w:pStyle w:val="Heading4"/>
        <w:ind w:firstLine="280"/>
      </w:pPr>
      <w:bookmarkStart w:id="35" w:name="_heading=h.c2mq4nctdghk" w:colFirst="0" w:colLast="0"/>
      <w:bookmarkEnd w:id="35"/>
      <w:r>
        <w:t xml:space="preserve">(e) Acquiring a Financial Advice Provider licence </w:t>
      </w:r>
    </w:p>
    <w:p w14:paraId="22062FEF" w14:textId="77777777" w:rsidR="00A71428" w:rsidRDefault="00000000">
      <w:r>
        <w:t>In order to provide regulated financial advice lawfully, finfluencers must obtain a FAP licence from the FMA. Acquiring a FAP licence is both expensive and time-intensive. Financial advisors must meet competency standards by holding a Certificate in Financial Services and undertake ongoing professional training.</w:t>
      </w:r>
      <w:r>
        <w:rPr>
          <w:vertAlign w:val="superscript"/>
        </w:rPr>
        <w:footnoteReference w:id="151"/>
      </w:r>
      <w:r>
        <w:t xml:space="preserve"> Obtaining the certificate takes between four months to a full year. The cost of a FAP licence is between NZD $703.80 to $1,060.30, based on the class of licence applied for. Levies to the FMA cost a further NZD $552.00 yearly.</w:t>
      </w:r>
      <w:r>
        <w:rPr>
          <w:vertAlign w:val="superscript"/>
        </w:rPr>
        <w:footnoteReference w:id="152"/>
      </w:r>
      <w:r>
        <w:t xml:space="preserve"> Furthermore, those licensed as a FAP are subject to disclosure obligations, a dispute resolution scheme, and systems for record-keeping, as well as secure information technology systems. Thus, the obligations are onerous to </w:t>
      </w:r>
      <w:r>
        <w:lastRenderedPageBreak/>
        <w:t xml:space="preserve">protect clients of financial advisors but demonstrate a high barrier of entry to acquire and maintain a FAP licence. </w:t>
      </w:r>
    </w:p>
    <w:p w14:paraId="62699726" w14:textId="77777777" w:rsidR="00A71428" w:rsidRDefault="00A71428"/>
    <w:p w14:paraId="07D876E8" w14:textId="77777777" w:rsidR="00A71428" w:rsidRDefault="00000000">
      <w:r>
        <w:t>The FMC Act regulates the provision of financial advice to ensure both the availability and quality of financial advice services to recipients in New Zealand.</w:t>
      </w:r>
      <w:r>
        <w:rPr>
          <w:vertAlign w:val="superscript"/>
        </w:rPr>
        <w:footnoteReference w:id="153"/>
      </w:r>
      <w:r>
        <w:t xml:space="preserve"> Arguably, the current framework only partially achieves these stated purposes. Financial advice services are subject to stringent compliance obligations, which have made these services extremely costly,</w:t>
      </w:r>
      <w:r>
        <w:rPr>
          <w:vertAlign w:val="superscript"/>
        </w:rPr>
        <w:footnoteReference w:id="154"/>
      </w:r>
      <w:r>
        <w:t xml:space="preserve"> and therefore too expensive for most young investors to justify. Financial advice on social media is readily available, but its quality varies significantly and can result in substantial financial losses for those who act on it. For this reason and to achieve the FMC Act’s purpose, regulating finfluencers should aim to ease consumer access to high-quality financial advice. </w:t>
      </w:r>
    </w:p>
    <w:p w14:paraId="16565D8D" w14:textId="77777777" w:rsidR="00A71428" w:rsidRDefault="00A71428"/>
    <w:p w14:paraId="0A4FB7B4" w14:textId="77777777" w:rsidR="00A71428" w:rsidRDefault="00000000">
      <w:pPr>
        <w:pStyle w:val="Heading2"/>
      </w:pPr>
      <w:bookmarkStart w:id="36" w:name="_heading=h.s788clxxuow0" w:colFirst="0" w:colLast="0"/>
      <w:bookmarkEnd w:id="36"/>
      <w:r>
        <w:t>C Misleading and Deceptive Conduct</w:t>
      </w:r>
    </w:p>
    <w:p w14:paraId="2F4720D3" w14:textId="77777777" w:rsidR="00A71428" w:rsidRDefault="00000000">
      <w:r>
        <w:t>Finfluencers are also subject to the fair dealing provisions in the FMC Act, which prohibit misleading or deceptive conduct, false or misleading representations, and unsubstantiated representations about financial products or services.</w:t>
      </w:r>
      <w:r>
        <w:rPr>
          <w:vertAlign w:val="superscript"/>
        </w:rPr>
        <w:footnoteReference w:id="155"/>
      </w:r>
      <w:r>
        <w:t xml:space="preserve"> These provisions apply only if the finfluencer is “in trade”; the FMA will likely borrow this definition from the Fair Trading Act 1986. “Trade” includes a “business”, which is further defined as “any undertaking that is carried on whether for gain or reward or not” or an undertaking “in the course of which ... goods or services are acquired or supplied ... whether free of charge or not”.</w:t>
      </w:r>
      <w:r>
        <w:rPr>
          <w:vertAlign w:val="superscript"/>
        </w:rPr>
        <w:footnoteReference w:id="156"/>
      </w:r>
      <w:r>
        <w:t xml:space="preserve"> The High Court of Australia found that conducting “promotional activities… [of] the supply of goods or services to actual or potential consumers, be they identified persons or merely an unidentifiable section of the public” put someone in trade.</w:t>
      </w:r>
      <w:r>
        <w:rPr>
          <w:vertAlign w:val="superscript"/>
        </w:rPr>
        <w:footnoteReference w:id="157"/>
      </w:r>
      <w:r>
        <w:t xml:space="preserve"> Thus, a finfluencer who misleads their viewers can be liable under the fair </w:t>
      </w:r>
      <w:r>
        <w:lastRenderedPageBreak/>
        <w:t>dealing provisions. However, these provisions are unavailable to consumers, and only the FMA can bring an action.</w:t>
      </w:r>
      <w:r>
        <w:rPr>
          <w:vertAlign w:val="superscript"/>
        </w:rPr>
        <w:footnoteReference w:id="158"/>
      </w:r>
    </w:p>
    <w:p w14:paraId="56C30D7A" w14:textId="77777777" w:rsidR="00A71428" w:rsidRDefault="00A71428"/>
    <w:p w14:paraId="13E8DE76" w14:textId="77777777" w:rsidR="00A71428" w:rsidRDefault="00000000">
      <w:pPr>
        <w:pStyle w:val="Heading2"/>
        <w:ind w:left="360" w:firstLine="0"/>
      </w:pPr>
      <w:bookmarkStart w:id="37" w:name="_heading=h.xe1vvqfa0r66" w:colFirst="0" w:colLast="0"/>
      <w:bookmarkEnd w:id="37"/>
      <w:r>
        <w:t xml:space="preserve">D The Financial Advertising Code and the Advertising Standards Authority </w:t>
      </w:r>
    </w:p>
    <w:p w14:paraId="67AAFFE0" w14:textId="77777777" w:rsidR="00A71428" w:rsidRDefault="00000000">
      <w:r>
        <w:t>The ASA investigates breaches of sponsored advertising against the Financial Advertising Code to ensure finance-related advertising meets a high standard of social responsibility. It is an industry-funded regulator that sets and maintains standards for responsible advertising in New Zealand, alongside five other Advertising Codes.</w:t>
      </w:r>
      <w:r>
        <w:rPr>
          <w:vertAlign w:val="superscript"/>
        </w:rPr>
        <w:footnoteReference w:id="159"/>
      </w:r>
      <w:r>
        <w:t xml:space="preserve"> The ASA also addresses influencer advertising.</w:t>
      </w:r>
      <w:r>
        <w:rPr>
          <w:vertAlign w:val="superscript"/>
        </w:rPr>
        <w:footnoteReference w:id="160"/>
      </w:r>
      <w:r>
        <w:t xml:space="preserve"> Its definition of advertising is a message “with the intent to influence the choice, opinion or behaviour of those to whom it is addressed” and is broadly consistent with the definition of financial advice as a recommendation or an opinion to purchase a financial product.</w:t>
      </w:r>
      <w:r>
        <w:rPr>
          <w:vertAlign w:val="superscript"/>
        </w:rPr>
        <w:footnoteReference w:id="161"/>
      </w:r>
      <w:r>
        <w:t xml:space="preserve"> Influencers breach the Code if their content does not identify itself as an advertisement.</w:t>
      </w:r>
      <w:r>
        <w:rPr>
          <w:vertAlign w:val="superscript"/>
        </w:rPr>
        <w:footnoteReference w:id="162"/>
      </w:r>
      <w:r>
        <w:t xml:space="preserve">  </w:t>
      </w:r>
    </w:p>
    <w:p w14:paraId="26271842" w14:textId="77777777" w:rsidR="00A71428" w:rsidRDefault="00A71428"/>
    <w:p w14:paraId="44DA5453" w14:textId="77777777" w:rsidR="00A71428" w:rsidRDefault="00000000">
      <w:r>
        <w:t>The ASA resolves breaches of the Advertising Codes by asking the advertiser to amend or remove the advertisement in question. Viewers make complaints to the ASA Complaints Board, who decide whether the advertiser has breached an Advertising Code. If the ASA finds a breach, the ASA allows the advertiser to voluntarily remove the advertisement and settle the complaint.</w:t>
      </w:r>
      <w:r>
        <w:rPr>
          <w:vertAlign w:val="superscript"/>
        </w:rPr>
        <w:footnoteReference w:id="163"/>
      </w:r>
      <w:r>
        <w:t xml:space="preserve"> If the advertiser does not respond, the ASA will uphold the complaint and request that the advertiser and media platforms hosting it remove the advertisement.</w:t>
      </w:r>
    </w:p>
    <w:p w14:paraId="06E1BE69" w14:textId="77777777" w:rsidR="00A71428" w:rsidRDefault="00A71428"/>
    <w:p w14:paraId="1D5275D9" w14:textId="77777777" w:rsidR="00A71428" w:rsidRDefault="00000000">
      <w:r>
        <w:t xml:space="preserve">The ASA only investigates ads that breach its Codes, rather than those that breach the law. This suggests product sponsorship and affiliate marketing are both regulated by the FMA as regulated financial advice, and by the ASA if the advertisement breaches the Financial Advice Code. By </w:t>
      </w:r>
      <w:r>
        <w:lastRenderedPageBreak/>
        <w:t>way of illustration, a properly disclosed post advertising a share trading platform by an unlicensed financial finfluencer breaches the FMC Act because the post constitutes regulated financial advice given by an unlicensed provider. It is within the FMA’s power to order the takedown of the post and issue a warning to the finfluencer. However, there are no grounds for an ASA investigation, presuming the post provides a balanced and truthful assessment of the share trading platform in line with the Financial Advertising Code.</w:t>
      </w:r>
      <w:r>
        <w:rPr>
          <w:vertAlign w:val="superscript"/>
        </w:rPr>
        <w:footnoteReference w:id="164"/>
      </w:r>
      <w:r>
        <w:t xml:space="preserve"> Conversely, a finfluencer post giving inaccurate factual information does not breach the FMC Act and only the Financial Advertising Code because the claims are misleading and false.</w:t>
      </w:r>
      <w:r>
        <w:rPr>
          <w:vertAlign w:val="superscript"/>
        </w:rPr>
        <w:footnoteReference w:id="165"/>
      </w:r>
      <w:r>
        <w:t xml:space="preserve"> In this case, only the ASA acts to amend or remove the advertisement with the advertiser’s cooperation. In the first example, the ASA would direct complainants to the relevant regulator. For example, the ASA left the Department of Internal Affairs to remove influencer advertising on offshore online casinos because the posts did not breach its Codes. The question of whether the posts contravened the Gambling Act was a matter of law.</w:t>
      </w:r>
      <w:r>
        <w:rPr>
          <w:vertAlign w:val="superscript"/>
        </w:rPr>
        <w:footnoteReference w:id="166"/>
      </w:r>
      <w:r>
        <w:t xml:space="preserve"> </w:t>
      </w:r>
    </w:p>
    <w:p w14:paraId="7F7FC60B" w14:textId="77777777" w:rsidR="00A71428" w:rsidRDefault="00A71428"/>
    <w:p w14:paraId="63DD8762" w14:textId="77777777" w:rsidR="00A71428" w:rsidRDefault="00000000">
      <w:r>
        <w:t>This process reveals how the ASA is not the answer to protecting New Zealanders from harmful finfluencer content. First, it is not a regulator. It works on an annual budget of $1,000,000 and only six full-time staff, and manages advertising on five other Advertising Codes across all forms of advertising media.</w:t>
      </w:r>
      <w:r>
        <w:rPr>
          <w:vertAlign w:val="superscript"/>
        </w:rPr>
        <w:footnoteReference w:id="167"/>
      </w:r>
      <w:r>
        <w:t xml:space="preserve"> Second, the removal remedy is </w:t>
      </w:r>
      <w:r>
        <w:rPr>
          <w:i/>
          <w:iCs/>
        </w:rPr>
        <w:t>ex poste</w:t>
      </w:r>
      <w:r>
        <w:t>, which does little for consumer protection, as viewers will remain unaware that they were subjected to advertising.</w:t>
      </w:r>
      <w:r>
        <w:rPr>
          <w:vertAlign w:val="superscript"/>
        </w:rPr>
        <w:footnoteReference w:id="168"/>
      </w:r>
      <w:r>
        <w:t xml:space="preserve"> Features like Instagram Stories, where content automatically deletes after 24 hours, render the removal remedy futile.</w:t>
      </w:r>
      <w:r>
        <w:rPr>
          <w:vertAlign w:val="superscript"/>
        </w:rPr>
        <w:footnoteReference w:id="169"/>
      </w:r>
      <w:r>
        <w:t xml:space="preserve"> Third, the ASA is also unable to prevent repeated breaches.</w:t>
      </w:r>
      <w:r>
        <w:rPr>
          <w:vertAlign w:val="superscript"/>
        </w:rPr>
        <w:footnoteReference w:id="170"/>
      </w:r>
      <w:r>
        <w:t xml:space="preserve"> For example, a finfluencer may repeatedly fail to disclose a sponsored relationship with the advertiser remunerating them but the ASA’s remedy remains the same each breach. Fourth, their jurisdiction also only extends to </w:t>
      </w:r>
      <w:r>
        <w:lastRenderedPageBreak/>
        <w:t>ads that originate within New Zealand, which means the ASA does not take down ads which happen to enter NZ screens but are intended to be distributed globally by advertisers.</w:t>
      </w:r>
      <w:r>
        <w:rPr>
          <w:vertAlign w:val="superscript"/>
        </w:rPr>
        <w:footnoteReference w:id="171"/>
      </w:r>
      <w:r>
        <w:t xml:space="preserve"> It is likely that a significant proportion of finfluencer advertisements originate outside New Zealand, due to the country’s relatively small consumer-facing financial services industry. Fifth, the ASA does not cover organic recommendations of the finfluencers’ own accord, which are not advertising. Given that finfluencers are less likely to have the knowledge to understand the products they promote compared to a financial adviser, unsponsored endorsements still pose a risk to consumers. </w:t>
      </w:r>
    </w:p>
    <w:p w14:paraId="449FB050" w14:textId="77777777" w:rsidR="00A71428" w:rsidRDefault="00A71428"/>
    <w:p w14:paraId="3D3BD49D" w14:textId="77777777" w:rsidR="00A71428" w:rsidRDefault="00000000">
      <w:r>
        <w:t>Overall, these regulatory and soft law mechanisms reveal that New Zealand’s framework overseeing financial advice did not account for the new context in which consumers receive financial advice. This section has demonstrated that the way finfluencers influence consumer decision-making leaves substantial regulatory gaps, particularly in managing finfluencer remuneration and the Code of Conduct.</w:t>
      </w:r>
    </w:p>
    <w:p w14:paraId="3B5865EC" w14:textId="77777777" w:rsidR="00A71428" w:rsidRDefault="00A71428">
      <w:pPr>
        <w:rPr>
          <w:b/>
          <w:bCs/>
        </w:rPr>
      </w:pPr>
    </w:p>
    <w:p w14:paraId="494AF53C" w14:textId="77777777" w:rsidR="00A71428" w:rsidRDefault="00000000">
      <w:pPr>
        <w:pStyle w:val="Heading1"/>
      </w:pPr>
      <w:bookmarkStart w:id="38" w:name="_heading=h.2op7ehettnod" w:colFirst="0" w:colLast="0"/>
      <w:bookmarkEnd w:id="38"/>
      <w:r>
        <w:t>IV Reform and Recommendations</w:t>
      </w:r>
    </w:p>
    <w:p w14:paraId="5BAEEB37" w14:textId="77777777" w:rsidR="00A71428" w:rsidRDefault="00000000">
      <w:r>
        <w:t>There is a pressing need to use and enforce the law. Alberta Securities Commission has noted that finfluencing cases “are likely to increase with the prevalence of social media and investors' willingness to rely on online advice”.</w:t>
      </w:r>
      <w:r>
        <w:rPr>
          <w:vertAlign w:val="superscript"/>
        </w:rPr>
        <w:footnoteReference w:id="172"/>
      </w:r>
      <w:r>
        <w:t xml:space="preserve"> Unqualified and predatory finfluencers will continue to give misleading financial advice without liability. Without regulator oversight, algorithms and reputation are the only restraints for unsavoury finfluencer activity. At the same time, a lack of regulatory oversight disadvantages compliant finfluencers as declining to enter a sponsorship arrangement to sell high-risk investments results in less income. </w:t>
      </w:r>
    </w:p>
    <w:p w14:paraId="608296D0" w14:textId="77777777" w:rsidR="00A71428" w:rsidRDefault="00A71428"/>
    <w:p w14:paraId="0CE090BE" w14:textId="77777777" w:rsidR="00A71428" w:rsidRDefault="00000000">
      <w:r>
        <w:t xml:space="preserve">This section argues that a finfluencer licensing regime represents the most proportionate and effective regulatory response. It proceeds in three parts: first, it outlines why enforcement is </w:t>
      </w:r>
      <w:r>
        <w:lastRenderedPageBreak/>
        <w:t>necessary. Second, it justifies the need for a licence for deterrence and enforcement through two case studies: New Zealand’s difficulties in restraining influencer gambling promotion and comparative insights from Australia’s approach of licensing finfluencers. It then proposes the Financial Commentary Licence, describing how the licence is tailored to address the financial advice gap by making financial advice online accessible while also ensuring it is responsibly given. This enables finfluencers to lawfully provide their educational function while protecting investors from misleading or harmful financial content. It argues that a finfluencer licensing regime represents the most proportionate and effective regulatory response. Finally, it suggests complementary measures to address the financial advice gap.</w:t>
      </w:r>
    </w:p>
    <w:p w14:paraId="1E1D8112" w14:textId="77777777" w:rsidR="00A71428" w:rsidRDefault="00A71428"/>
    <w:p w14:paraId="6CED6448" w14:textId="77777777" w:rsidR="00A71428" w:rsidRDefault="00000000">
      <w:pPr>
        <w:pStyle w:val="Heading2"/>
      </w:pPr>
      <w:bookmarkStart w:id="39" w:name="_heading=h.2rhwvd5ysa1k" w:colFirst="0" w:colLast="0"/>
      <w:bookmarkEnd w:id="39"/>
      <w:r>
        <w:t xml:space="preserve">A Addressing the Finfluencer Problem </w:t>
      </w:r>
    </w:p>
    <w:p w14:paraId="6A2D08B4" w14:textId="77777777" w:rsidR="00A71428" w:rsidRDefault="00000000">
      <w:pPr>
        <w:pStyle w:val="Heading3"/>
      </w:pPr>
      <w:bookmarkStart w:id="40" w:name="_heading=h.qf997xqf6r1j" w:colFirst="0" w:colLast="0"/>
      <w:bookmarkEnd w:id="40"/>
      <w:r>
        <w:t>1 Enforcing the law</w:t>
      </w:r>
    </w:p>
    <w:p w14:paraId="5CB3C678" w14:textId="77777777" w:rsidR="00A71428" w:rsidRDefault="00000000">
      <w:r>
        <w:t>Currently, the FMA Guide states that people who provide regulated financial advice fall under the FMA’s regime, which requires them to acquire an FAP licence.</w:t>
      </w:r>
      <w:r>
        <w:rPr>
          <w:vertAlign w:val="superscript"/>
        </w:rPr>
        <w:footnoteReference w:id="173"/>
      </w:r>
      <w:r>
        <w:t xml:space="preserve"> This dissertation argues that the FAP licence must be revised for finfluencers. The current regulatory approach has stringent entry and conduct regulation but weak enforcement, which permits opportunistic and profitable behaviour from unlicensed finfluencers, to the detriment of licensed finfluencers. Despite the FMA Guide stating finfluencers needed to obtain a licence in 2021, the FMA has not enforced it in the four years since. </w:t>
      </w:r>
    </w:p>
    <w:p w14:paraId="77D1C4B4" w14:textId="77777777" w:rsidR="00A71428" w:rsidRDefault="00A71428"/>
    <w:p w14:paraId="457428CC" w14:textId="77777777" w:rsidR="00A71428" w:rsidRDefault="00000000">
      <w:r>
        <w:t>The issue with non-enforcement is that only a regulator has the resources and authority to demarcate and enforce the law.</w:t>
      </w:r>
      <w:r>
        <w:rPr>
          <w:vertAlign w:val="superscript"/>
        </w:rPr>
        <w:footnoteReference w:id="174"/>
      </w:r>
      <w:r>
        <w:t xml:space="preserve"> Without enforcement, the bounds of permissible finfluencer communication are unclear. Since the FMA has stated that finfluencers must acquire a licence if they give regulated financial advice, the FMA should enforce the law. While it is arguable that the licensing obligation is too onerous for finfluencers, the laws should be changed rather than remain </w:t>
      </w:r>
      <w:r>
        <w:lastRenderedPageBreak/>
        <w:t>unenforced. Most people spend significant amounts of time, effort, and money to obtain a FAP licence and provide financial advice lawfully, while finfluencers give advice without doing so. Additionally, leaving finfluencers unregulated opens a loophole that immunises them from legal accountability simply by virtue of giving regulated financial advice online.</w:t>
      </w:r>
    </w:p>
    <w:p w14:paraId="144DFA3F" w14:textId="77777777" w:rsidR="00A71428" w:rsidRDefault="00A71428"/>
    <w:p w14:paraId="0E85F817" w14:textId="77777777" w:rsidR="00A71428" w:rsidRDefault="00000000">
      <w:pPr>
        <w:pStyle w:val="Heading3"/>
      </w:pPr>
      <w:bookmarkStart w:id="41" w:name="_heading=h.gb9cnqmswosx" w:colFirst="0" w:colLast="0"/>
      <w:bookmarkEnd w:id="41"/>
      <w:r>
        <w:t>2 Adapting current regulation</w:t>
      </w:r>
    </w:p>
    <w:p w14:paraId="448B3C7C" w14:textId="77777777" w:rsidR="00A71428" w:rsidRDefault="00000000">
      <w:r>
        <w:t>Overall, New Zealand laws already provide the necessary tools to protect consumers. The FAP licence and other conduct regulations simply need adaptation to feasibly regulate finfluencers. As demonstrated in Part III, finfluencers provide financial advice but are remunerated like advertisers. This dissertation proposes amending the FAP licence to the finfluencer context, using two case studies.</w:t>
      </w:r>
    </w:p>
    <w:p w14:paraId="2C9C2861" w14:textId="77777777" w:rsidR="00A71428" w:rsidRDefault="00A71428">
      <w:pPr>
        <w:pStyle w:val="Heading4"/>
        <w:ind w:left="0"/>
      </w:pPr>
      <w:bookmarkStart w:id="42" w:name="_heading=h.mf97hmsmad5p" w:colFirst="0" w:colLast="0"/>
      <w:bookmarkEnd w:id="42"/>
    </w:p>
    <w:p w14:paraId="7DC5E814" w14:textId="77777777" w:rsidR="00A71428" w:rsidRDefault="00000000">
      <w:pPr>
        <w:pStyle w:val="Heading4"/>
        <w:ind w:left="0" w:firstLine="720"/>
      </w:pPr>
      <w:bookmarkStart w:id="43" w:name="_heading=h.ktn4cgunqr4q" w:colFirst="0" w:colLast="0"/>
      <w:bookmarkEnd w:id="43"/>
      <w:r>
        <w:t>(a) Influencers illegally advertising offshore gambling</w:t>
      </w:r>
    </w:p>
    <w:p w14:paraId="2C65351D" w14:textId="77777777" w:rsidR="00A71428" w:rsidRDefault="00000000">
      <w:r>
        <w:t>In 2025, the Department of Internal Affairs (</w:t>
      </w:r>
      <w:r>
        <w:rPr>
          <w:i/>
          <w:iCs/>
        </w:rPr>
        <w:t>DIA</w:t>
      </w:r>
      <w:r>
        <w:t>) faced difficulty preventing influencers from advertising offshore gambling platforms. The DIA repeatedly fined the influencers for contravening the Gambling Act 2003.</w:t>
      </w:r>
      <w:r>
        <w:rPr>
          <w:vertAlign w:val="superscript"/>
        </w:rPr>
        <w:footnoteReference w:id="175"/>
      </w:r>
      <w:r>
        <w:t xml:space="preserve"> However, the modest NZD $5,000 penalties effectively became a cost of doing business since the advertisers reportedly offered the influencers up to $20,000 per post.</w:t>
      </w:r>
      <w:r>
        <w:rPr>
          <w:vertAlign w:val="superscript"/>
        </w:rPr>
        <w:footnoteReference w:id="176"/>
      </w:r>
      <w:r>
        <w:t xml:space="preserve"> </w:t>
      </w:r>
    </w:p>
    <w:p w14:paraId="41B357F3" w14:textId="77777777" w:rsidR="00A71428" w:rsidRDefault="00A71428"/>
    <w:p w14:paraId="1841EAE2" w14:textId="77777777" w:rsidR="00A71428" w:rsidRDefault="00000000">
      <w:r>
        <w:t>This case study highlights that merely enforcing existing law does not deter influencers when the risk-reward analysis favours breaking the law. Penalties must be significant enough to deter influencers, such as suspension from social media platforms and disgorgement of remuneration.</w:t>
      </w:r>
    </w:p>
    <w:p w14:paraId="33DC9F44" w14:textId="77777777" w:rsidR="00A71428" w:rsidRDefault="00A71428"/>
    <w:p w14:paraId="31D6D244" w14:textId="77777777" w:rsidR="00A71428" w:rsidRDefault="00000000">
      <w:r>
        <w:t xml:space="preserve">Licensing, as a proactive measure, would encourage self-regulation by aligning the incentive to act lawfully with their continued business. Conduct regulation in the form of licensing constrains </w:t>
      </w:r>
      <w:r>
        <w:lastRenderedPageBreak/>
        <w:t>licensees into lawful conduct, or face licence suspension or cancellation.</w:t>
      </w:r>
      <w:r>
        <w:rPr>
          <w:vertAlign w:val="superscript"/>
        </w:rPr>
        <w:footnoteReference w:id="177"/>
      </w:r>
      <w:r>
        <w:t xml:space="preserve"> Policing conduct, particularly online, can be resource-intensive from a regulator’s perspective. However, the threat of cancellation is significant if the licensee relies on the regulated activity for income, which encourages finfluencers to self-regulate. Furthermore, licensing is effectively a quality barrier which ensures licensees are competent and accountable to undertake regulated and risky activity.</w:t>
      </w:r>
      <w:r>
        <w:rPr>
          <w:vertAlign w:val="superscript"/>
        </w:rPr>
        <w:footnoteReference w:id="178"/>
      </w:r>
      <w:r>
        <w:rPr>
          <w:vertAlign w:val="superscript"/>
        </w:rPr>
        <w:t xml:space="preserve"> </w:t>
      </w:r>
      <w:r>
        <w:t xml:space="preserve"> For similar reasons, the FMA uses licences to regulate professional financial advisers. </w:t>
      </w:r>
    </w:p>
    <w:p w14:paraId="194D3706" w14:textId="77777777" w:rsidR="00A71428" w:rsidRDefault="00A71428"/>
    <w:p w14:paraId="42449D1F" w14:textId="77777777" w:rsidR="00A71428" w:rsidRDefault="00000000">
      <w:pPr>
        <w:pStyle w:val="Heading4"/>
        <w:ind w:left="0" w:firstLine="720"/>
      </w:pPr>
      <w:bookmarkStart w:id="44" w:name="_heading=h.p2rrb2st3jor" w:colFirst="0" w:colLast="0"/>
      <w:bookmarkEnd w:id="44"/>
      <w:r>
        <w:t>(b) Australia’s finfluencer “crackdown”</w:t>
      </w:r>
    </w:p>
    <w:p w14:paraId="5D4C9416" w14:textId="77777777" w:rsidR="00A71428" w:rsidRDefault="00000000">
      <w:r>
        <w:t>Australia’s approach to regulating finfluencers demonstrates the need for a finfluencer-specific licence rather than overlaying the traditional licence for a professional financial adviser. In 2022, ASIC adopted a strict enforcement approach, warning that providing financial advice without a licence could result in penalties exceeding AUD $1 million and a potential imprisonment of up to five years. The Australian advice went further than the FMA Guide, stating that advising investment in classes of products like ETFs (as opposed to specific ETFs) could constitute regulated financial advice.</w:t>
      </w:r>
      <w:r>
        <w:rPr>
          <w:vertAlign w:val="superscript"/>
        </w:rPr>
        <w:footnoteReference w:id="179"/>
      </w:r>
      <w:r>
        <w:t xml:space="preserve"> Many finfluencers were sole traders and ceased posting or deleted existing content due to the severe penalties, high compliance costs, and uncertainty about what constituted financial advice.</w:t>
      </w:r>
      <w:r>
        <w:rPr>
          <w:vertAlign w:val="superscript"/>
        </w:rPr>
        <w:footnoteReference w:id="180"/>
      </w:r>
      <w:r>
        <w:t xml:space="preserve"> A study of 12 Australian finfluencers found that over half withdrew from financial content creation entirely and five finfluencers turned to discussing broader lifestyle topics.</w:t>
      </w:r>
      <w:r>
        <w:rPr>
          <w:vertAlign w:val="superscript"/>
        </w:rPr>
        <w:footnoteReference w:id="181"/>
      </w:r>
      <w:r>
        <w:t xml:space="preserve"> Evidently, ASIC deterred unlicensed financial advice but has done little to address the demand for affordable, context-specific, and high-quality financial advice; the type of information which is the most effective in improving financial literacy.</w:t>
      </w:r>
      <w:r>
        <w:rPr>
          <w:vertAlign w:val="superscript"/>
        </w:rPr>
        <w:footnoteReference w:id="182"/>
      </w:r>
      <w:r>
        <w:t xml:space="preserve"> </w:t>
      </w:r>
    </w:p>
    <w:p w14:paraId="5DDA0A6C" w14:textId="77777777" w:rsidR="00A71428" w:rsidRDefault="00A71428"/>
    <w:p w14:paraId="10CEC9CC" w14:textId="77777777" w:rsidR="00A71428" w:rsidRDefault="00000000">
      <w:r>
        <w:lastRenderedPageBreak/>
        <w:t>The regulation also raises the question of overregulation and stifling a solution to the financial advice gap.</w:t>
      </w:r>
      <w:r>
        <w:rPr>
          <w:vertAlign w:val="superscript"/>
        </w:rPr>
        <w:footnoteReference w:id="183"/>
      </w:r>
      <w:r>
        <w:t xml:space="preserve"> Professional financial advice is heavily regulated, resulting in high fees that make it unaffordable for many people. This affects young people the most, who have sought advice online instead. Australia’s example shows that more regulation can create undesirable consequences, such as a loss and reduction in accessibility of free financial education from well-intentioned financial finfluencers. </w:t>
      </w:r>
    </w:p>
    <w:p w14:paraId="6820548C" w14:textId="77777777" w:rsidR="00A71428" w:rsidRDefault="00A71428"/>
    <w:p w14:paraId="3B587CF7" w14:textId="77777777" w:rsidR="00A71428" w:rsidRDefault="00000000">
      <w:r>
        <w:t>Similarly, if the current FMA stance is enforced, it will likely shut down New Zealand finfluencers entirely. For Australian finfluencers, the choice has been disabling all content or obtaining a licence, the latter being “inaccessible” and “would take a very long time to get, so it’s not really a viable option.”</w:t>
      </w:r>
      <w:r>
        <w:rPr>
          <w:vertAlign w:val="superscript"/>
        </w:rPr>
        <w:footnoteReference w:id="184"/>
      </w:r>
      <w:r>
        <w:t xml:space="preserve"> A small number of 14 Australian finfluencers have since obtained the equivalent of the FAP licence or become licensed through sponsorship from financial advice firms.</w:t>
      </w:r>
      <w:r>
        <w:rPr>
          <w:vertAlign w:val="superscript"/>
        </w:rPr>
        <w:footnoteReference w:id="185"/>
      </w:r>
      <w:r>
        <w:t xml:space="preserve"> As discussed in Part III, obtaining a FAP licence is time-consuming, complicated and expensive. Therefore, few finfluencers will seek a licence even if the FMA begins enforcing the requirement. The law should protect and promote finfluencers who genuinely educate viewers and provide high-quality, balanced advice, while censoring finfluencers who peddle dubious products and services. It should not censor both to stop the latter. </w:t>
      </w:r>
    </w:p>
    <w:p w14:paraId="4CBEDE1B" w14:textId="77777777" w:rsidR="00A71428" w:rsidRDefault="00A71428"/>
    <w:p w14:paraId="515B8B7F" w14:textId="77777777" w:rsidR="00A71428" w:rsidRDefault="00000000">
      <w:pPr>
        <w:pStyle w:val="Heading3"/>
      </w:pPr>
      <w:bookmarkStart w:id="45" w:name="_heading=h.texo2ph4qlg3" w:colFirst="0" w:colLast="0"/>
      <w:bookmarkEnd w:id="45"/>
      <w:r>
        <w:t>3 Educating consumers</w:t>
      </w:r>
    </w:p>
    <w:p w14:paraId="4003713C" w14:textId="77777777" w:rsidR="00A71428" w:rsidRDefault="00000000">
      <w:r>
        <w:t xml:space="preserve">Finally, amended licensing regulations should promote responsible, New Zealand-specific advice. Advice from New Zealand finfluencers will be most helpful, accurate, and applicable to viewers because of the differences in financial systems. For example, a common piece of advice online is to build a credit score from a young age to get better interest rates for loans. However, most credit scoring information originates from the United States and is therefore inaccurate or inapplicable </w:t>
      </w:r>
      <w:r>
        <w:lastRenderedPageBreak/>
        <w:t xml:space="preserve">to New Zealanders. Accurate advice from another jurisdiction can be misleading even where the finfluencer has taken care to ensure the information is accurate and balanced. </w:t>
      </w:r>
    </w:p>
    <w:p w14:paraId="5F1BEC6D" w14:textId="77777777" w:rsidR="00A71428" w:rsidRDefault="00A71428"/>
    <w:p w14:paraId="4D4A0570" w14:textId="77777777" w:rsidR="00A71428" w:rsidRDefault="00000000">
      <w:r>
        <w:t>A consequence for Australia has been a “proliferation of content from influencers operating in unregulated markets” in the absence of local finfluencers.</w:t>
      </w:r>
      <w:r>
        <w:rPr>
          <w:vertAlign w:val="superscript"/>
        </w:rPr>
        <w:footnoteReference w:id="186"/>
      </w:r>
      <w:r>
        <w:t xml:space="preserve"> Crypto-finfluencers and non-Australian finfluencers have met the consumer demand; the former because Australia does not consider cryptocurrency a financial product, meaning crypto-advice is not financial advice, the latter because the Australian regulator cannot censor overseas finfluencers. It demonstrates that suppressing local finfluencers does not displace consumer demand, but rather directs viewers towards foreign finfluencers whose advice is less applicable to their circumstances.</w:t>
      </w:r>
    </w:p>
    <w:p w14:paraId="2BBF6C7C" w14:textId="77777777" w:rsidR="00A71428" w:rsidRDefault="00A71428"/>
    <w:p w14:paraId="69B19FDF" w14:textId="77777777" w:rsidR="00A71428" w:rsidRDefault="00000000">
      <w:r>
        <w:t>There is a persistent demand for finfluencer advice. Without finfluencers, consumers face the choice of obtaining financial advice that costs thousands or no advice at all. Well-meaning finfluencers who share portfolio updates and specific experiences in their financial journey are valuable to consumers. Hatch Invest CEO Kristen Lunman observed investors demand specific advice once they begin investing.</w:t>
      </w:r>
      <w:r>
        <w:rPr>
          <w:vertAlign w:val="superscript"/>
        </w:rPr>
        <w:footnoteReference w:id="187"/>
      </w:r>
      <w:r>
        <w:t xml:space="preserve"> To avoid crossing into regulated financial advice, finfluencers can only give general information, which viewers find unhelpful.</w:t>
      </w:r>
      <w:r>
        <w:rPr>
          <w:vertAlign w:val="superscript"/>
        </w:rPr>
        <w:footnoteReference w:id="188"/>
      </w:r>
      <w:r>
        <w:t xml:space="preserve"> Amended regulation of a Finfluencer Commentary Licence would formalise finfluencers as an affordable way to obtain specific advice. </w:t>
      </w:r>
    </w:p>
    <w:p w14:paraId="5E4F0B25" w14:textId="77777777" w:rsidR="00A71428" w:rsidRDefault="00A71428"/>
    <w:p w14:paraId="196B822E" w14:textId="77777777" w:rsidR="00A71428" w:rsidRDefault="00000000">
      <w:pPr>
        <w:pStyle w:val="Heading2"/>
      </w:pPr>
      <w:bookmarkStart w:id="46" w:name="_heading=h.lf4sftsya8lf" w:colFirst="0" w:colLast="0"/>
      <w:bookmarkEnd w:id="46"/>
      <w:r>
        <w:t xml:space="preserve">B The Financial Commentary Licence </w:t>
      </w:r>
    </w:p>
    <w:p w14:paraId="4C6DDC3A" w14:textId="77777777" w:rsidR="00A71428" w:rsidRDefault="00000000">
      <w:pPr>
        <w:pStyle w:val="Heading3"/>
      </w:pPr>
      <w:bookmarkStart w:id="47" w:name="_heading=h.3atjzqpbyw3n" w:colFirst="0" w:colLast="0"/>
      <w:bookmarkEnd w:id="47"/>
      <w:r>
        <w:t>1 Entry test</w:t>
      </w:r>
    </w:p>
    <w:p w14:paraId="2DA67BC8" w14:textId="77777777" w:rsidR="00A71428" w:rsidRDefault="00000000">
      <w:r>
        <w:t>The proposed licence would integrate finfluencers into New Zealand’s existing financial advice regime as a distinct licence called the Financial Commentary Licence (</w:t>
      </w:r>
      <w:r>
        <w:rPr>
          <w:i/>
          <w:iCs/>
        </w:rPr>
        <w:t>FCL</w:t>
      </w:r>
      <w:r>
        <w:t xml:space="preserve">). The commentary aspect reflects the absence of a traditional client relationship, and that personalised advice is not </w:t>
      </w:r>
      <w:r>
        <w:lastRenderedPageBreak/>
        <w:t xml:space="preserve">given to viewers. The FCL would be less onerous than the FAP licence with reduced conduct obligations and disclosure documentation, and would be less resource-intensive to maintain. Under this proposal, the trigger to licensing is that any individual who provides financial content online in the ordinary course of business must hold an FCL. </w:t>
      </w:r>
    </w:p>
    <w:p w14:paraId="66E771E8" w14:textId="77777777" w:rsidR="00A71428" w:rsidRDefault="00A71428"/>
    <w:p w14:paraId="5809D1B5" w14:textId="77777777" w:rsidR="00A71428" w:rsidRDefault="00000000">
      <w:r>
        <w:t>“Financial content” encompasses any discussion on investing money. This widened scope, rather than the technical definition of “regulated financial advice”, addresses the fact that financial education and financial advice are often interchangeable to an unknowledgeable viewer seeking direction on how to best invest their money based on their circumstances and risk profile. This straightforward test avoids the ambiguity seen in the Australian licensing test, where one finfluencer called it “roundabout”,</w:t>
      </w:r>
      <w:r>
        <w:rPr>
          <w:vertAlign w:val="superscript"/>
        </w:rPr>
        <w:footnoteReference w:id="189"/>
      </w:r>
      <w:r>
        <w:t xml:space="preserve"> and skirting around the test made them “so limited in what [they] can say now, and [they’re] so worried that [they’re] going to say the wrong thing”.</w:t>
      </w:r>
      <w:r>
        <w:rPr>
          <w:vertAlign w:val="superscript"/>
        </w:rPr>
        <w:footnoteReference w:id="190"/>
      </w:r>
      <w:r>
        <w:t xml:space="preserve"> In New Zealand, the FMA Guide provides unhelpful examples of financial advice that do not address whether personal anecdotes about investment strategies, product reviews, or disclosing investment portfolios constitute financial advice.</w:t>
      </w:r>
    </w:p>
    <w:p w14:paraId="0BBEF356" w14:textId="77777777" w:rsidR="00A71428" w:rsidRDefault="00A71428"/>
    <w:p w14:paraId="3789D0E8" w14:textId="77777777" w:rsidR="00A71428" w:rsidRDefault="00000000">
      <w:r>
        <w:t>The licence would also extend to advice relating to unregulated financial assets, such as cryptocurrencies, where finfluencers profit from their recommendations. This closes the current loophole that allows influencers to freely promote cryptocurrency investments under the FMC Act.</w:t>
      </w:r>
      <w:r>
        <w:rPr>
          <w:vertAlign w:val="superscript"/>
        </w:rPr>
        <w:footnoteReference w:id="191"/>
      </w:r>
    </w:p>
    <w:p w14:paraId="3D2023A1" w14:textId="77777777" w:rsidR="00A71428" w:rsidRDefault="00A71428"/>
    <w:p w14:paraId="1503BF0B" w14:textId="77777777" w:rsidR="00A71428" w:rsidRDefault="00000000">
      <w:r>
        <w:t>The ordinary course of business element remains the same to capture finfluencers who profit from discussing investment-related topics to their audience. This requirement would continue to exempt finfluencers who do not accept sponsorship and give advice for no benefit.</w:t>
      </w:r>
    </w:p>
    <w:p w14:paraId="4BC4BD85" w14:textId="77777777" w:rsidR="00A71428" w:rsidRDefault="00A71428"/>
    <w:p w14:paraId="55A77DD1" w14:textId="77777777" w:rsidR="00A71428" w:rsidRDefault="00000000">
      <w:pPr>
        <w:pStyle w:val="Heading3"/>
      </w:pPr>
      <w:bookmarkStart w:id="48" w:name="_heading=h.bw0xzirghtag" w:colFirst="0" w:colLast="0"/>
      <w:bookmarkEnd w:id="48"/>
      <w:r>
        <w:lastRenderedPageBreak/>
        <w:t>2 Obligations</w:t>
      </w:r>
    </w:p>
    <w:p w14:paraId="1592A75A" w14:textId="77777777" w:rsidR="00A71428" w:rsidRDefault="00000000">
      <w:r>
        <w:t>The FCL will retain most of the disclosure, entry and conduct regulations from the FAP licence. For example, finfluencers will still be required to disclose whether their content is an advertisement, if they have a financial interest in the content promoted, and their qualifications on their social media profile page. Understanding the person’s actual expertise is important so recipients know the limitations of the advice.</w:t>
      </w:r>
    </w:p>
    <w:p w14:paraId="362AD4CE" w14:textId="77777777" w:rsidR="00A71428" w:rsidRDefault="00A71428"/>
    <w:p w14:paraId="2432A3A7" w14:textId="77777777" w:rsidR="00A71428" w:rsidRDefault="00000000">
      <w:r>
        <w:t>The Code of Conduct would be amended to reflect the absence of a traditional client relationship. Code Standard 5, which pertains to protecting client information, should be removed. Code Standard 1 on treating clients fairly should be amended to treat viewers with reasonable care and skill of a reasonable finfluencer.</w:t>
      </w:r>
      <w:r>
        <w:rPr>
          <w:vertAlign w:val="superscript"/>
        </w:rPr>
        <w:footnoteReference w:id="192"/>
      </w:r>
      <w:r>
        <w:t xml:space="preserve"> Code Standards 3 and 4 on suitability and understanding the advice should be merged and amended to give accurate and balanced advice. </w:t>
      </w:r>
    </w:p>
    <w:p w14:paraId="45BCF5B7" w14:textId="77777777" w:rsidR="00A71428" w:rsidRDefault="00A71428"/>
    <w:p w14:paraId="7D2B4239" w14:textId="77777777" w:rsidR="00A71428" w:rsidRDefault="00000000">
      <w:r>
        <w:t>Code Standards 5 to 9 on holding requisite competence, knowledge, and skill, the standard of care will remain the same for FCL holders, as holding oneself out as an expert creates a corresponding responsibility to meet the standard of care expected in that role.</w:t>
      </w:r>
      <w:r>
        <w:rPr>
          <w:vertAlign w:val="superscript"/>
        </w:rPr>
        <w:footnoteReference w:id="193"/>
      </w:r>
      <w:r>
        <w:t xml:space="preserve"> It also recognises the influence of both occupations on financial decision-making. </w:t>
      </w:r>
    </w:p>
    <w:p w14:paraId="7F986F40" w14:textId="77777777" w:rsidR="00A71428" w:rsidRDefault="00A71428"/>
    <w:p w14:paraId="15F0F5B2" w14:textId="77777777" w:rsidR="00A71428" w:rsidRDefault="00000000">
      <w:pPr>
        <w:pStyle w:val="Heading3"/>
      </w:pPr>
      <w:bookmarkStart w:id="49" w:name="_heading=h.icdm4aoiji7m" w:colFirst="0" w:colLast="0"/>
      <w:bookmarkEnd w:id="49"/>
      <w:r>
        <w:t>3 Interaction with the Financial Advice Provider licence</w:t>
      </w:r>
    </w:p>
    <w:p w14:paraId="580E627D" w14:textId="77777777" w:rsidR="00A71428" w:rsidRDefault="00000000">
      <w:r>
        <w:t xml:space="preserve">Financial Commentary licensees will effectively serve as a stepping stone for consumers and financial advisers. Viewers are currently underserved by the market of financial advisers and occupy a different sector of the market; they tend to be young people who seek specific, rather than personalised, advice. Finfluencers, by making concepts digestible and contextualising them, bridge the gap between a complete lack of knowledge to feeling comfortable discussing finances with a professional. Better-informed consumers, who can see the value in financial advice, are </w:t>
      </w:r>
      <w:r>
        <w:lastRenderedPageBreak/>
        <w:t>more likely to seek advice when they need it.</w:t>
      </w:r>
      <w:r>
        <w:rPr>
          <w:vertAlign w:val="superscript"/>
        </w:rPr>
        <w:footnoteReference w:id="194"/>
      </w:r>
      <w:r>
        <w:t xml:space="preserve"> The FCL also allows finfluencers to operate independently since financial advisers tend to work under a company and must sell services or financial products to clients.</w:t>
      </w:r>
      <w:r>
        <w:rPr>
          <w:vertAlign w:val="superscript"/>
        </w:rPr>
        <w:footnoteReference w:id="195"/>
      </w:r>
      <w:r>
        <w:t xml:space="preserve"> </w:t>
      </w:r>
    </w:p>
    <w:p w14:paraId="3AE5316C" w14:textId="77777777" w:rsidR="00A71428" w:rsidRDefault="00A71428"/>
    <w:p w14:paraId="05A5D82D" w14:textId="77777777" w:rsidR="00A71428" w:rsidRDefault="00000000">
      <w:pPr>
        <w:pStyle w:val="Heading3"/>
      </w:pPr>
      <w:bookmarkStart w:id="50" w:name="_heading=h.est09sgkpf0q" w:colFirst="0" w:colLast="0"/>
      <w:bookmarkEnd w:id="50"/>
      <w:r>
        <w:t xml:space="preserve">4 Enforcement </w:t>
      </w:r>
    </w:p>
    <w:p w14:paraId="4662E4F4" w14:textId="77777777" w:rsidR="00A71428" w:rsidRDefault="00000000">
      <w:r>
        <w:t xml:space="preserve">Introducing the regime would include giving New Zealand finfluencers a reasonable grace period and an updated FMA Guide to assist with licensing and understanding their duties to their viewers. The requirement to license and obtain the educational certificate triggers after six months of posting financial content and accepting sponsorship from intermediaries or the platform, whichever date is earlier. Warning letters will precede penalties, and failure to acquire a licence after the six-month grace period will result in daily pecuniary penalties from the FMA to licence or to cease operating unlawfully. Unlicensed finfluencers will also face suspensions or account bans. Finfluencers may also choose not to make a business from finfluencing by denying sponsorship to avoid the licensing requirement. Such an approach permits finfluencers who solely document their financial journey to operate, as the absence of financial incentives significantly reduces the risk of harm to viewers. </w:t>
      </w:r>
    </w:p>
    <w:p w14:paraId="5AF63DBB" w14:textId="77777777" w:rsidR="00A71428" w:rsidRDefault="00A71428"/>
    <w:p w14:paraId="33AB07A6" w14:textId="77777777" w:rsidR="00A71428" w:rsidRDefault="00000000">
      <w:r>
        <w:t>Enforcement of the finfluencer licence would rest with the FMA using the same disciplinary mechanisms applicable to financial advisers.</w:t>
      </w:r>
      <w:r>
        <w:rPr>
          <w:vertAlign w:val="superscript"/>
        </w:rPr>
        <w:footnoteReference w:id="196"/>
      </w:r>
      <w:r>
        <w:t xml:space="preserve"> Complaints about FCL holders would continue to be heard by the Financial Advisers Disciplinary Committee and Approved Dispute Resolution Schemes. FCL holders would face the same penalties as FAP licensees.</w:t>
      </w:r>
    </w:p>
    <w:p w14:paraId="4351478B" w14:textId="77777777" w:rsidR="00A71428" w:rsidRDefault="00A71428"/>
    <w:p w14:paraId="203269FA" w14:textId="77777777" w:rsidR="00A71428" w:rsidRDefault="00000000">
      <w:pPr>
        <w:pStyle w:val="Heading3"/>
      </w:pPr>
      <w:bookmarkStart w:id="51" w:name="_heading=h.mlgj1b95y626" w:colFirst="0" w:colLast="0"/>
      <w:bookmarkEnd w:id="51"/>
      <w:r>
        <w:lastRenderedPageBreak/>
        <w:t>5 Caveats</w:t>
      </w:r>
    </w:p>
    <w:p w14:paraId="4918646D" w14:textId="77777777" w:rsidR="00A71428" w:rsidRDefault="00000000">
      <w:r>
        <w:t>A licence is not a guarantee of integrity. However, mandatory licensing narrows the industry to those willing to meet entry, competency, and disclosure standards, and creates a norm of lawful behaviour in local content as New Zealand viewers can trust that New Zealand finfluencers are licensed and regulated for quality. Users would be able to verify the licensing by going to their profile page which displays their license number, or check the identity against the Financial Service Provider Register.</w:t>
      </w:r>
      <w:r>
        <w:rPr>
          <w:vertAlign w:val="superscript"/>
        </w:rPr>
        <w:footnoteReference w:id="197"/>
      </w:r>
      <w:r>
        <w:t xml:space="preserve"> Additionally, users can file complaints to help the FMA begin investigations, particularly against smaller finfluencers who may otherwise elude supervision.</w:t>
      </w:r>
      <w:r>
        <w:rPr>
          <w:vertAlign w:val="superscript"/>
        </w:rPr>
        <w:footnoteReference w:id="198"/>
      </w:r>
    </w:p>
    <w:p w14:paraId="47D183D0" w14:textId="77777777" w:rsidR="00A71428" w:rsidRDefault="00A71428"/>
    <w:p w14:paraId="4BBA90B6" w14:textId="77777777" w:rsidR="00A71428" w:rsidRDefault="00000000">
      <w:r>
        <w:t>An FCL creates certainty to enforce the law. Australia, the United Arab Emirates and China have already limited the promotion of financial products to licensed influencers, thereby reducing the sheer volume of unlawful financial content online.</w:t>
      </w:r>
      <w:r>
        <w:rPr>
          <w:vertAlign w:val="superscript"/>
        </w:rPr>
        <w:footnoteReference w:id="199"/>
      </w:r>
      <w:r>
        <w:t xml:space="preserve"> Furthermore, the FMA has international cooperation mechanisms available for cross-border enforcement as a signatory to IOSCO’s Multilateral Memorandum of Understanding and Enhanced Memorandum of Understanding.</w:t>
      </w:r>
      <w:r>
        <w:rPr>
          <w:vertAlign w:val="superscript"/>
        </w:rPr>
        <w:footnoteReference w:id="200"/>
      </w:r>
      <w:r>
        <w:t xml:space="preserve"> Signatories to the memoranda can request each other for assistance and are expected to provide the fullest assistance to each other for cross-border enforcement against fraud and misconduct.</w:t>
      </w:r>
      <w:r>
        <w:rPr>
          <w:vertAlign w:val="superscript"/>
        </w:rPr>
        <w:footnoteReference w:id="201"/>
      </w:r>
      <w:r>
        <w:t xml:space="preserve"> </w:t>
      </w:r>
    </w:p>
    <w:p w14:paraId="4F4E8144" w14:textId="77777777" w:rsidR="00A71428" w:rsidRDefault="00A71428"/>
    <w:p w14:paraId="11C1DDCE" w14:textId="77777777" w:rsidR="00A71428" w:rsidRDefault="00000000">
      <w:pPr>
        <w:pStyle w:val="Heading2"/>
      </w:pPr>
      <w:bookmarkStart w:id="52" w:name="_heading=h.5242cv31x3fd" w:colFirst="0" w:colLast="0"/>
      <w:bookmarkEnd w:id="52"/>
      <w:r>
        <w:t>C Complementary Measures</w:t>
      </w:r>
    </w:p>
    <w:p w14:paraId="5566E1FB" w14:textId="77777777" w:rsidR="00A71428" w:rsidRDefault="00000000">
      <w:pPr>
        <w:pStyle w:val="Heading3"/>
      </w:pPr>
      <w:bookmarkStart w:id="53" w:name="_heading=h.pa3fujo2grjm" w:colFirst="0" w:colLast="0"/>
      <w:bookmarkEnd w:id="53"/>
      <w:r>
        <w:t xml:space="preserve">1 Platform disclosure </w:t>
      </w:r>
    </w:p>
    <w:p w14:paraId="66F83239" w14:textId="77777777" w:rsidR="00A71428" w:rsidRDefault="00000000">
      <w:r>
        <w:t xml:space="preserve">The cross-jurisdictional nature of social media poses practical challenges for regulators. Safe harbour privileges, developed in the infancy of the World Wide Web and the interests of innovation demanded that internet service providers receive liability exemptions for unlawful acts of third </w:t>
      </w:r>
      <w:r>
        <w:lastRenderedPageBreak/>
        <w:t>parties on their networks, still protect social media platforms today.</w:t>
      </w:r>
      <w:r>
        <w:rPr>
          <w:vertAlign w:val="superscript"/>
        </w:rPr>
        <w:footnoteReference w:id="202"/>
      </w:r>
      <w:r>
        <w:t xml:space="preserve"> This limits regulators’ ability to compel platform-level enforcement to take down unlawful and misleading financial content.</w:t>
      </w:r>
    </w:p>
    <w:p w14:paraId="5AAB9EF4" w14:textId="77777777" w:rsidR="00A71428" w:rsidRDefault="00A71428"/>
    <w:p w14:paraId="04FDE636" w14:textId="77777777" w:rsidR="00A71428" w:rsidRDefault="00000000">
      <w:r>
        <w:t>YouTube, TikTok and Meta report that they ban harmful misinformation and content with deceptive practices and fraud.</w:t>
      </w:r>
      <w:r>
        <w:rPr>
          <w:vertAlign w:val="superscript"/>
        </w:rPr>
        <w:footnoteReference w:id="203"/>
      </w:r>
      <w:r>
        <w:t xml:space="preserve"> This does not appear to be the case. Given this apparent willingness to cooperate, the FMA, along with IOSCO and its 130 securities regulators, should pressure social media companies to give them the ability to directly suspend accounts which fall afoul of national laws. Social media platforms should be required to pass on reports from users about unlicensed finfluencer accounts to the relevant regulator, thereby avoiding duplication of effort. </w:t>
      </w:r>
    </w:p>
    <w:p w14:paraId="1B756ADA" w14:textId="77777777" w:rsidR="00A71428" w:rsidRDefault="00A71428"/>
    <w:p w14:paraId="029100BF" w14:textId="77777777" w:rsidR="00A71428" w:rsidRDefault="00000000">
      <w:r>
        <w:t>Platforms should also require influencers to disclose whether content is an advertisement and suspend ads that are not disclosed. Platforms should also label financial content with a warning to advise users to do their due diligence when consuming financial advice online, which TikTok has already done.</w:t>
      </w:r>
      <w:r>
        <w:rPr>
          <w:vertAlign w:val="superscript"/>
        </w:rPr>
        <w:footnoteReference w:id="204"/>
      </w:r>
    </w:p>
    <w:p w14:paraId="0FD640CF" w14:textId="77777777" w:rsidR="00A71428" w:rsidRDefault="00A71428"/>
    <w:p w14:paraId="2980F921" w14:textId="77777777" w:rsidR="00A71428" w:rsidRDefault="00000000">
      <w:pPr>
        <w:pStyle w:val="Heading3"/>
      </w:pPr>
      <w:bookmarkStart w:id="54" w:name="_heading=h.vnsjpx5x9dlv" w:colFirst="0" w:colLast="0"/>
      <w:bookmarkEnd w:id="54"/>
      <w:r>
        <w:t>2 Finfluencer education</w:t>
      </w:r>
    </w:p>
    <w:p w14:paraId="53E22CBF" w14:textId="77777777" w:rsidR="00A71428" w:rsidRDefault="00000000">
      <w:r>
        <w:t>A finfluencer licensing regime should be supported by soft law measures which promote voluntary compliance, such as educational programmes for finfluencers and viewers. If the FMA chooses not to adopt a Financial Commentary Licence, the FMA should still revise its 2021 Guide to clarify the distinction between financial education, general commentary, and regulated advice, and what constitutes giving financial advice in the “ordinary course of business”.</w:t>
      </w:r>
    </w:p>
    <w:p w14:paraId="26DB7959" w14:textId="77777777" w:rsidR="00A71428" w:rsidRDefault="00A71428"/>
    <w:p w14:paraId="4CCB1CA1" w14:textId="77777777" w:rsidR="00A71428" w:rsidRDefault="00000000">
      <w:r>
        <w:lastRenderedPageBreak/>
        <w:t>An updated FMA Guide will also educate viewers. Viewers who understand the nature and limitations of online financial content are better equipped to identify misleading information, respond critically, and report breaches. Given that viewers’ engagement with financial content affects the algorithm and thus the content’s reach, promoting financial literacy among both finfluencers and viewers serves as a form of indirect safeguard against unlawful financial advice.</w:t>
      </w:r>
    </w:p>
    <w:p w14:paraId="27162967" w14:textId="77777777" w:rsidR="00A71428" w:rsidRDefault="00A71428"/>
    <w:p w14:paraId="183F10E3" w14:textId="77777777" w:rsidR="00A71428" w:rsidRDefault="00000000">
      <w:r>
        <w:t>As demonstrated in Parts II and III, finfluencers cause significant consumer harm because anyone can become a finfluencer, gain a following and promote harmful investments. The current pattern of regulatory action is to allow unlicensed finfluencers to operate until they cause severe harm to consumers.</w:t>
      </w:r>
      <w:r>
        <w:rPr>
          <w:vertAlign w:val="superscript"/>
        </w:rPr>
        <w:footnoteReference w:id="205"/>
      </w:r>
      <w:r>
        <w:t xml:space="preserve"> In many cases, no one is held liable at all for contributing to the loss of investor savings. This sporadic, one-off approach demonstrates the difficulty of preventing diffuse harm on the internet without licensing.</w:t>
      </w:r>
    </w:p>
    <w:p w14:paraId="46779E58" w14:textId="77777777" w:rsidR="00A71428" w:rsidRDefault="00A71428"/>
    <w:p w14:paraId="7602738D" w14:textId="77777777" w:rsidR="00A71428" w:rsidRDefault="00000000">
      <w:pPr>
        <w:pStyle w:val="Heading1"/>
      </w:pPr>
      <w:bookmarkStart w:id="55" w:name="_heading=h.7nugvlh9n8tn" w:colFirst="0" w:colLast="0"/>
      <w:bookmarkEnd w:id="55"/>
      <w:r>
        <w:t>V Conclusion</w:t>
      </w:r>
    </w:p>
    <w:p w14:paraId="5717E367" w14:textId="77777777" w:rsidR="00A71428" w:rsidRDefault="00000000">
      <w:r>
        <w:t>This dissertation concludes that New Zealand’s financial advice regime is not fit for purpose when confronted with the growing phenomenon of finfluencers. While professional financial advisers are held to stringent standards, finfluencers face little accountability. Monitoring the exchange of ideas is challenging even without the need to protect consumers. This regulatory imbalance has persisted because finfluencers fill a major financial advice gap, providing accessible, digestible, and personalised financial content to ordinary New Zealanders for whom the cost of traditional advice is often prohibitive.</w:t>
      </w:r>
    </w:p>
    <w:p w14:paraId="4A7BD7EF" w14:textId="77777777" w:rsidR="00A71428" w:rsidRDefault="00A71428"/>
    <w:p w14:paraId="0C17CCC9" w14:textId="77777777" w:rsidR="00A71428" w:rsidRDefault="00000000">
      <w:r>
        <w:t xml:space="preserve">The central deficiency lies in the application of the FMC Act, which presumes a proximate, one-to-one adviser-client relationship. This framework is ill-suited to regulate the mass, algorithmic communication characteristic of finfluencers. The existing legal test for "regulated financial advice" is ambiguous for consumers, particularly concerning the distinction between financial </w:t>
      </w:r>
      <w:r>
        <w:lastRenderedPageBreak/>
        <w:t>education and advice, and the definition of advice given "in the ordinary course of business". This ambiguity compromises the integrity of the law and discourages voluntary compliance. Furthermore, weak enforcement by the FMA means that unlicensed finfluencers continue to operate, diminishing the law's deterrent effect.</w:t>
      </w:r>
    </w:p>
    <w:p w14:paraId="0817F026" w14:textId="77777777" w:rsidR="00A71428" w:rsidRDefault="00A71428"/>
    <w:p w14:paraId="19648CF7" w14:textId="77777777" w:rsidR="00A71428" w:rsidRDefault="00000000">
      <w:r>
        <w:t>To address this structural mismatch, this dissertation has proposed implementing a tailored licensing system known as the Financial Commentary Licence. Anchoring this new licence within the existing FMC Act regime, the proposal aims to hold finfluencers accountable to ethical, professional, and conduct standards similar to those of professional financial advisers. This approach targets the commercialisation of influence by imposing standards on those who profit from providing financial education or advice, without extending regulatory overreach to unpaid educators.</w:t>
      </w:r>
    </w:p>
    <w:p w14:paraId="4180AB2F" w14:textId="77777777" w:rsidR="00A71428" w:rsidRDefault="00A71428"/>
    <w:p w14:paraId="0034008C" w14:textId="77777777" w:rsidR="00A71428" w:rsidRDefault="00000000">
      <w:r>
        <w:t>The proposed solution acknowledges that the popularity of finfluencers and the high cost of traditional advice are two sides of the same market conditions. The Financial Commentary Licence provides the necessary accountability and quality barriers required for a functioning financial market, while avoiding the chilling effect seen in Australia. This approach protects New Zealanders without extinguishing an accessible source of financial education.</w:t>
      </w:r>
    </w:p>
    <w:p w14:paraId="66059F7F" w14:textId="77777777" w:rsidR="00A71428" w:rsidRDefault="00000000">
      <w:r>
        <w:br w:type="page"/>
      </w:r>
    </w:p>
    <w:p w14:paraId="00C4C487" w14:textId="77777777" w:rsidR="00A71428" w:rsidRDefault="00000000">
      <w:pPr>
        <w:pStyle w:val="Heading1"/>
      </w:pPr>
      <w:bookmarkStart w:id="56" w:name="_heading=h.5xyobc4evpiy" w:colFirst="0" w:colLast="0"/>
      <w:bookmarkEnd w:id="56"/>
      <w:r>
        <w:lastRenderedPageBreak/>
        <w:t>Bibliography</w:t>
      </w:r>
    </w:p>
    <w:p w14:paraId="17B4146F" w14:textId="77777777" w:rsidR="00A71428" w:rsidRDefault="00000000">
      <w:pPr>
        <w:pStyle w:val="Heading2"/>
      </w:pPr>
      <w:bookmarkStart w:id="57" w:name="_heading=h.yb9p9ljany5" w:colFirst="0" w:colLast="0"/>
      <w:bookmarkEnd w:id="57"/>
      <w:r>
        <w:t>A Primary Sources</w:t>
      </w:r>
    </w:p>
    <w:p w14:paraId="7280B24D" w14:textId="77777777" w:rsidR="00A71428" w:rsidRDefault="00000000">
      <w:pPr>
        <w:pStyle w:val="Heading3"/>
      </w:pPr>
      <w:bookmarkStart w:id="58" w:name="_heading=h.iosky24u6ypx" w:colFirst="0" w:colLast="0"/>
      <w:bookmarkEnd w:id="58"/>
      <w:r>
        <w:t>1 Legislation</w:t>
      </w:r>
    </w:p>
    <w:p w14:paraId="4E45205B" w14:textId="77777777" w:rsidR="00A71428" w:rsidRDefault="00000000">
      <w:pPr>
        <w:spacing w:after="200" w:line="360" w:lineRule="auto"/>
      </w:pPr>
      <w:r>
        <w:t>Corporation Act 2001 (</w:t>
      </w:r>
      <w:r>
        <w:rPr>
          <w:i/>
          <w:iCs/>
        </w:rPr>
        <w:t>Cth</w:t>
      </w:r>
      <w:r>
        <w:t>) (Australia).</w:t>
      </w:r>
    </w:p>
    <w:p w14:paraId="4CF72630" w14:textId="77777777" w:rsidR="00A71428" w:rsidRDefault="00000000">
      <w:pPr>
        <w:spacing w:after="200" w:line="360" w:lineRule="auto"/>
      </w:pPr>
      <w:r>
        <w:t>Education Act 1989.</w:t>
      </w:r>
    </w:p>
    <w:p w14:paraId="4080E531" w14:textId="77777777" w:rsidR="00A71428" w:rsidRDefault="00000000">
      <w:pPr>
        <w:spacing w:after="200" w:line="360" w:lineRule="auto"/>
      </w:pPr>
      <w:r>
        <w:t>Education and Training Act 2020.</w:t>
      </w:r>
    </w:p>
    <w:p w14:paraId="2BE555E7" w14:textId="77777777" w:rsidR="00A71428" w:rsidRDefault="00000000">
      <w:pPr>
        <w:spacing w:after="200" w:line="360" w:lineRule="auto"/>
      </w:pPr>
      <w:r>
        <w:t>Evidence Act 2006.</w:t>
      </w:r>
    </w:p>
    <w:p w14:paraId="181D553D" w14:textId="77777777" w:rsidR="00A71428" w:rsidRDefault="00000000">
      <w:pPr>
        <w:spacing w:after="200" w:line="360" w:lineRule="auto"/>
      </w:pPr>
      <w:r>
        <w:t>Fair Trading Act 1986.</w:t>
      </w:r>
    </w:p>
    <w:p w14:paraId="385BC23A" w14:textId="77777777" w:rsidR="00A71428" w:rsidRDefault="00000000">
      <w:pPr>
        <w:spacing w:after="200" w:line="360" w:lineRule="auto"/>
      </w:pPr>
      <w:r>
        <w:t>Financial Advisers Act 2008 (repealed).</w:t>
      </w:r>
    </w:p>
    <w:p w14:paraId="33370656" w14:textId="77777777" w:rsidR="00A71428" w:rsidRDefault="00000000">
      <w:pPr>
        <w:spacing w:after="200" w:line="360" w:lineRule="auto"/>
        <w:jc w:val="left"/>
      </w:pPr>
      <w:r>
        <w:t>Financial Markets Authority (Levies) Amendment Regulations (No 2) 2020.</w:t>
      </w:r>
    </w:p>
    <w:p w14:paraId="60FACDDC" w14:textId="77777777" w:rsidR="00A71428" w:rsidRDefault="00000000">
      <w:pPr>
        <w:spacing w:after="200" w:line="360" w:lineRule="auto"/>
      </w:pPr>
      <w:r>
        <w:t>Financial Markets Conduct Act 2013.</w:t>
      </w:r>
    </w:p>
    <w:p w14:paraId="10B848BE" w14:textId="77777777" w:rsidR="00A71428" w:rsidRDefault="00000000">
      <w:pPr>
        <w:spacing w:after="200" w:line="360" w:lineRule="auto"/>
      </w:pPr>
      <w:r>
        <w:t>Financial Markets Conduct Regulations 2014.</w:t>
      </w:r>
    </w:p>
    <w:p w14:paraId="08CB5002" w14:textId="77777777" w:rsidR="00A71428" w:rsidRDefault="00000000">
      <w:pPr>
        <w:spacing w:after="200" w:line="360" w:lineRule="auto"/>
      </w:pPr>
      <w:r>
        <w:t>Financial Service Providers (Registration and Dispute Resolution) Act 2008.</w:t>
      </w:r>
    </w:p>
    <w:p w14:paraId="7AC90BEE" w14:textId="77777777" w:rsidR="00A71428" w:rsidRDefault="00000000">
      <w:pPr>
        <w:spacing w:after="200" w:line="360" w:lineRule="auto"/>
      </w:pPr>
      <w:r>
        <w:t>Financial Services Legislation Amendment Bill 2019.</w:t>
      </w:r>
    </w:p>
    <w:p w14:paraId="0DDB93F0" w14:textId="77777777" w:rsidR="00A71428" w:rsidRDefault="00000000">
      <w:pPr>
        <w:spacing w:after="200" w:line="360" w:lineRule="auto"/>
      </w:pPr>
      <w:r>
        <w:t xml:space="preserve">Financial Markets Authority </w:t>
      </w:r>
      <w:r>
        <w:rPr>
          <w:i/>
          <w:iCs/>
        </w:rPr>
        <w:t>The Code of Professional Conduct for Financial Advice Services</w:t>
      </w:r>
      <w:r>
        <w:t xml:space="preserve"> (1 November 2025).</w:t>
      </w:r>
    </w:p>
    <w:p w14:paraId="3BC71602" w14:textId="77777777" w:rsidR="00A71428" w:rsidRDefault="00A71428">
      <w:pPr>
        <w:spacing w:after="200" w:line="360" w:lineRule="auto"/>
      </w:pPr>
    </w:p>
    <w:p w14:paraId="5FA430ED" w14:textId="77777777" w:rsidR="00A71428" w:rsidRDefault="00000000">
      <w:pPr>
        <w:pStyle w:val="Heading3"/>
      </w:pPr>
      <w:bookmarkStart w:id="59" w:name="_heading=h.it3crkbfg68w" w:colFirst="0" w:colLast="0"/>
      <w:bookmarkEnd w:id="59"/>
      <w:r>
        <w:t>2 Cases</w:t>
      </w:r>
    </w:p>
    <w:p w14:paraId="38F5EB02" w14:textId="77777777" w:rsidR="00A71428" w:rsidRDefault="00000000">
      <w:pPr>
        <w:spacing w:after="200" w:line="360" w:lineRule="auto"/>
      </w:pPr>
      <w:r>
        <w:t xml:space="preserve"> </w:t>
      </w:r>
      <w:r>
        <w:rPr>
          <w:i/>
          <w:iCs/>
        </w:rPr>
        <w:t xml:space="preserve">ASIC v Scholz </w:t>
      </w:r>
      <w:r>
        <w:t>[2022] FCA 1542 at [124].</w:t>
      </w:r>
    </w:p>
    <w:p w14:paraId="4D458FAE" w14:textId="77777777" w:rsidR="00A71428" w:rsidRDefault="00000000">
      <w:pPr>
        <w:spacing w:after="200" w:line="360" w:lineRule="auto"/>
      </w:pPr>
      <w:r>
        <w:rPr>
          <w:i/>
          <w:iCs/>
        </w:rPr>
        <w:t xml:space="preserve">ASIC v Park Trent Properties Group Ptd Ltd (No 3) </w:t>
      </w:r>
      <w:r>
        <w:t>[2015] NSWSC 782.</w:t>
      </w:r>
    </w:p>
    <w:p w14:paraId="00A5EBE5" w14:textId="77777777" w:rsidR="00A71428" w:rsidRDefault="00000000">
      <w:pPr>
        <w:spacing w:after="200" w:line="360" w:lineRule="auto"/>
      </w:pPr>
      <w:r>
        <w:rPr>
          <w:i/>
          <w:iCs/>
        </w:rPr>
        <w:t>Bolam v Friern Hospital Management Committee</w:t>
      </w:r>
      <w:r>
        <w:t xml:space="preserve"> [1957] 1 WLR 582.</w:t>
      </w:r>
    </w:p>
    <w:p w14:paraId="78574FF5" w14:textId="77777777" w:rsidR="00A71428" w:rsidRDefault="00000000">
      <w:pPr>
        <w:spacing w:after="200" w:line="360" w:lineRule="auto"/>
      </w:pPr>
      <w:r>
        <w:rPr>
          <w:i/>
          <w:iCs/>
        </w:rPr>
        <w:t>Caparo Industries PLC v Dickman</w:t>
      </w:r>
      <w:r>
        <w:t xml:space="preserve"> [1990] UKHL 2.</w:t>
      </w:r>
    </w:p>
    <w:p w14:paraId="48A36ACE" w14:textId="77777777" w:rsidR="00A71428" w:rsidRDefault="00000000">
      <w:pPr>
        <w:spacing w:after="200" w:line="360" w:lineRule="auto"/>
      </w:pPr>
      <w:r>
        <w:rPr>
          <w:i/>
          <w:iCs/>
        </w:rPr>
        <w:lastRenderedPageBreak/>
        <w:t>Concrete Constructions (NSW) Pty Ltd v Nelson</w:t>
      </w:r>
      <w:r>
        <w:t xml:space="preserve"> [1990] 169 CLR 594.</w:t>
      </w:r>
    </w:p>
    <w:p w14:paraId="40454F5B" w14:textId="77777777" w:rsidR="00A71428" w:rsidRDefault="00000000">
      <w:pPr>
        <w:spacing w:after="200" w:line="360" w:lineRule="auto"/>
      </w:pPr>
      <w:r>
        <w:rPr>
          <w:i/>
          <w:iCs/>
        </w:rPr>
        <w:t>Crestsign Ltd v National Westminster Bank Plc</w:t>
      </w:r>
      <w:r>
        <w:t xml:space="preserve"> [2014] EWHC 3043.</w:t>
      </w:r>
    </w:p>
    <w:p w14:paraId="3E022CD3" w14:textId="77777777" w:rsidR="00A71428" w:rsidRDefault="00000000">
      <w:pPr>
        <w:spacing w:after="200" w:line="360" w:lineRule="auto"/>
      </w:pPr>
      <w:r>
        <w:rPr>
          <w:i/>
          <w:iCs/>
        </w:rPr>
        <w:t>In Re Ethereummax Investor Litigation</w:t>
      </w:r>
      <w:r>
        <w:t xml:space="preserve"> 2 22-cv-00163 (CD Cal 2025).</w:t>
      </w:r>
    </w:p>
    <w:p w14:paraId="747E8187" w14:textId="77777777" w:rsidR="00A71428" w:rsidRDefault="00000000">
      <w:pPr>
        <w:spacing w:after="200" w:line="360" w:lineRule="auto"/>
      </w:pPr>
      <w:r>
        <w:rPr>
          <w:i/>
          <w:iCs/>
        </w:rPr>
        <w:t>In Re FTX Cryptocurrency Exchange Collapse Litigation</w:t>
      </w:r>
      <w:r>
        <w:t xml:space="preserve"> no 1 23-md-03076 (SD Fla 2025).</w:t>
      </w:r>
    </w:p>
    <w:p w14:paraId="343C00F2" w14:textId="77777777" w:rsidR="00A71428" w:rsidRDefault="00000000">
      <w:pPr>
        <w:spacing w:after="200" w:line="360" w:lineRule="auto"/>
      </w:pPr>
      <w:r>
        <w:rPr>
          <w:i/>
          <w:iCs/>
        </w:rPr>
        <w:t>Re Floreani</w:t>
      </w:r>
      <w:r>
        <w:t xml:space="preserve"> 2025 ABASC 129.</w:t>
      </w:r>
    </w:p>
    <w:p w14:paraId="7CFD02C7" w14:textId="77777777" w:rsidR="00A71428" w:rsidRDefault="00000000">
      <w:pPr>
        <w:spacing w:after="200" w:line="360" w:lineRule="auto"/>
      </w:pPr>
      <w:r>
        <w:rPr>
          <w:i/>
          <w:iCs/>
        </w:rPr>
        <w:t>Shakoor v Situ</w:t>
      </w:r>
      <w:r>
        <w:t xml:space="preserve"> [2000] 4 All ER 181.</w:t>
      </w:r>
    </w:p>
    <w:p w14:paraId="11607558" w14:textId="77777777" w:rsidR="00A71428" w:rsidRDefault="00000000">
      <w:pPr>
        <w:spacing w:after="200" w:line="360" w:lineRule="auto"/>
      </w:pPr>
      <w:r>
        <w:rPr>
          <w:i/>
          <w:iCs/>
        </w:rPr>
        <w:t>Slater v Blomfield</w:t>
      </w:r>
      <w:r>
        <w:t xml:space="preserve"> [2014] 3 NZLR 835 (HC).</w:t>
      </w:r>
    </w:p>
    <w:p w14:paraId="3C827DC5" w14:textId="77777777" w:rsidR="00A71428" w:rsidRDefault="00A71428">
      <w:pPr>
        <w:spacing w:line="240" w:lineRule="auto"/>
        <w:rPr>
          <w:sz w:val="20"/>
          <w:szCs w:val="20"/>
        </w:rPr>
      </w:pPr>
    </w:p>
    <w:p w14:paraId="751FCF5F" w14:textId="77777777" w:rsidR="00A71428" w:rsidRDefault="00A71428">
      <w:pPr>
        <w:spacing w:line="240" w:lineRule="auto"/>
        <w:rPr>
          <w:sz w:val="20"/>
          <w:szCs w:val="20"/>
        </w:rPr>
      </w:pPr>
    </w:p>
    <w:p w14:paraId="6063636D" w14:textId="77777777" w:rsidR="00A71428" w:rsidRDefault="00000000">
      <w:pPr>
        <w:pStyle w:val="Heading2"/>
      </w:pPr>
      <w:bookmarkStart w:id="60" w:name="_heading=h.o4xj91xsvq2k" w:colFirst="0" w:colLast="0"/>
      <w:bookmarkEnd w:id="60"/>
      <w:r>
        <w:t>B Secondary Sources</w:t>
      </w:r>
    </w:p>
    <w:p w14:paraId="5FEA266F" w14:textId="77777777" w:rsidR="00A71428" w:rsidRDefault="00000000">
      <w:pPr>
        <w:pStyle w:val="Heading2"/>
      </w:pPr>
      <w:bookmarkStart w:id="61" w:name="_heading=h.mzqf17mnhwri" w:colFirst="0" w:colLast="0"/>
      <w:bookmarkEnd w:id="61"/>
      <w:r>
        <w:t>1 Government publications</w:t>
      </w:r>
    </w:p>
    <w:p w14:paraId="34D1685C" w14:textId="77777777" w:rsidR="00A71428" w:rsidRDefault="00000000">
      <w:pPr>
        <w:spacing w:after="200" w:line="360" w:lineRule="auto"/>
      </w:pPr>
      <w:r>
        <w:t xml:space="preserve">Australian Securities and Investment Commission “ASIC cracks down on unlawful finfluencers in global push against misconduct” (press release, 12 June 2025). </w:t>
      </w:r>
    </w:p>
    <w:p w14:paraId="609D6ACF" w14:textId="77777777" w:rsidR="00A71428" w:rsidRDefault="00000000">
      <w:pPr>
        <w:spacing w:after="200" w:line="360" w:lineRule="auto"/>
      </w:pPr>
      <w:r>
        <w:t>Australian Securities and Investment Commission “Discussing financial products and services online” (Information Sheet 269, March 2022).</w:t>
      </w:r>
    </w:p>
    <w:p w14:paraId="12177BCA" w14:textId="77777777" w:rsidR="00A71428" w:rsidRDefault="00000000">
      <w:pPr>
        <w:spacing w:after="200" w:line="360" w:lineRule="auto"/>
      </w:pPr>
      <w:r>
        <w:t>Cabinet Office Circular “Policy Framework for Occupational Regulation” (8 June 1999) CO 99/6.</w:t>
      </w:r>
    </w:p>
    <w:p w14:paraId="29F4C023" w14:textId="77777777" w:rsidR="00A71428" w:rsidRDefault="00000000">
      <w:pPr>
        <w:spacing w:after="200" w:line="360" w:lineRule="auto"/>
      </w:pPr>
      <w:r>
        <w:t xml:space="preserve">Colmar Brunton </w:t>
      </w:r>
      <w:r>
        <w:rPr>
          <w:i/>
          <w:iCs/>
        </w:rPr>
        <w:t>FA/FSP Act Review: Consumer Group Report</w:t>
      </w:r>
      <w:r>
        <w:t>, (Ministry of Business, Innovation and Employment, April 2015).</w:t>
      </w:r>
    </w:p>
    <w:p w14:paraId="2D7BCAB2" w14:textId="77777777" w:rsidR="00A71428" w:rsidRDefault="00000000">
      <w:pPr>
        <w:spacing w:after="200" w:line="360" w:lineRule="auto"/>
      </w:pPr>
      <w:r>
        <w:t>Financial Conduct Authority, “FCA warns investors in CFDs risk losing out on protections” (press release, 30 October 2025).</w:t>
      </w:r>
    </w:p>
    <w:p w14:paraId="011BC930" w14:textId="77777777" w:rsidR="00A71428" w:rsidRDefault="00000000">
      <w:pPr>
        <w:spacing w:after="200" w:line="360" w:lineRule="auto"/>
      </w:pPr>
      <w:r>
        <w:t xml:space="preserve">Financial Conduct Authority “'Finfluencers’ charged for promoting unauthorised trading scheme” (press release, 16 May 2024). </w:t>
      </w:r>
    </w:p>
    <w:p w14:paraId="2201E498" w14:textId="77777777" w:rsidR="00A71428" w:rsidRDefault="00000000">
      <w:pPr>
        <w:spacing w:after="200" w:line="360" w:lineRule="auto"/>
      </w:pPr>
      <w:r>
        <w:t xml:space="preserve">Financial Markets Authority </w:t>
      </w:r>
      <w:r>
        <w:rPr>
          <w:i/>
          <w:iCs/>
        </w:rPr>
        <w:t>AFA Information Returns 2016</w:t>
      </w:r>
      <w:r>
        <w:t xml:space="preserve"> (March 2017).</w:t>
      </w:r>
    </w:p>
    <w:p w14:paraId="3DAB70DD" w14:textId="77777777" w:rsidR="00A71428" w:rsidRDefault="00000000">
      <w:pPr>
        <w:spacing w:after="200" w:line="360" w:lineRule="auto"/>
      </w:pPr>
      <w:r>
        <w:t xml:space="preserve">Financial Markets Authority </w:t>
      </w:r>
      <w:r>
        <w:rPr>
          <w:i/>
          <w:iCs/>
        </w:rPr>
        <w:t>A guide to talking about money online</w:t>
      </w:r>
      <w:r>
        <w:t xml:space="preserve"> (28 June 2021).</w:t>
      </w:r>
    </w:p>
    <w:p w14:paraId="7515A4DD" w14:textId="77777777" w:rsidR="00A71428" w:rsidRDefault="00000000">
      <w:pPr>
        <w:spacing w:after="200" w:line="360" w:lineRule="auto"/>
      </w:pPr>
      <w:r>
        <w:lastRenderedPageBreak/>
        <w:t xml:space="preserve">Financial Markets Authority </w:t>
      </w:r>
      <w:r>
        <w:rPr>
          <w:i/>
          <w:iCs/>
        </w:rPr>
        <w:t>Discussion paper: Tokenisation in financial markets</w:t>
      </w:r>
      <w:r>
        <w:t xml:space="preserve"> (September 2025).</w:t>
      </w:r>
    </w:p>
    <w:p w14:paraId="5A629AF5" w14:textId="77777777" w:rsidR="00A71428" w:rsidRDefault="00000000">
      <w:pPr>
        <w:spacing w:after="200" w:line="360" w:lineRule="auto"/>
      </w:pPr>
      <w:r>
        <w:t xml:space="preserve">Financial Markets Authority </w:t>
      </w:r>
      <w:r>
        <w:rPr>
          <w:i/>
          <w:iCs/>
        </w:rPr>
        <w:t>Financial Conduct Report</w:t>
      </w:r>
      <w:r>
        <w:t xml:space="preserve"> (25 June 2025).</w:t>
      </w:r>
    </w:p>
    <w:p w14:paraId="13DF9FC5" w14:textId="77777777" w:rsidR="00A71428" w:rsidRDefault="00000000">
      <w:pPr>
        <w:spacing w:after="200" w:line="360" w:lineRule="auto"/>
      </w:pPr>
      <w:r>
        <w:t xml:space="preserve">Financial Markets Authority “FMA releases guide for ‘finfluencers’” (press release MR No. 2021 – 25, 28 June 2021). </w:t>
      </w:r>
    </w:p>
    <w:p w14:paraId="0500F83A" w14:textId="77777777" w:rsidR="00A71428" w:rsidRDefault="00000000">
      <w:pPr>
        <w:spacing w:after="200" w:line="360" w:lineRule="auto"/>
        <w:jc w:val="left"/>
      </w:pPr>
      <w:r>
        <w:t xml:space="preserve">Financial Markets Authority </w:t>
      </w:r>
      <w:r>
        <w:rPr>
          <w:i/>
          <w:iCs/>
        </w:rPr>
        <w:t>Guide to Financial Advice Provider licence requirements and application kit</w:t>
      </w:r>
      <w:r>
        <w:t xml:space="preserve"> (March 2023).</w:t>
      </w:r>
    </w:p>
    <w:p w14:paraId="113F6A44" w14:textId="77777777" w:rsidR="00A71428" w:rsidRDefault="00000000">
      <w:pPr>
        <w:spacing w:after="200" w:line="360" w:lineRule="auto"/>
        <w:jc w:val="left"/>
      </w:pPr>
      <w:r>
        <w:t xml:space="preserve"> Financial Markets Authority </w:t>
      </w:r>
      <w:r>
        <w:rPr>
          <w:i/>
          <w:iCs/>
        </w:rPr>
        <w:t>Investor Confidence Research</w:t>
      </w:r>
      <w:r>
        <w:t xml:space="preserve"> (research report, June 2021).</w:t>
      </w:r>
    </w:p>
    <w:p w14:paraId="48DC7816" w14:textId="77777777" w:rsidR="00A71428" w:rsidRDefault="00000000">
      <w:pPr>
        <w:spacing w:after="200" w:line="360" w:lineRule="auto"/>
      </w:pPr>
      <w:r>
        <w:t xml:space="preserve">Financial Markets Authority, Reserve Bank of New Zealand and Department of Internal Affairs </w:t>
      </w:r>
      <w:r>
        <w:rPr>
          <w:i/>
          <w:iCs/>
        </w:rPr>
        <w:t>Interpreting "ordinary course of business" Guideline</w:t>
      </w:r>
      <w:r>
        <w:t xml:space="preserve"> (December 2017).</w:t>
      </w:r>
    </w:p>
    <w:p w14:paraId="4CF7C579" w14:textId="77777777" w:rsidR="00A71428" w:rsidRDefault="00000000">
      <w:pPr>
        <w:spacing w:after="200" w:line="360" w:lineRule="auto"/>
      </w:pPr>
      <w:r>
        <w:t>Joseph Longo, ASIC Chair "The regulator’s perspective" (AFA Hybrid Conference 2021, Association of Financial Advisers, Sydney, 21 September 2021);</w:t>
      </w:r>
    </w:p>
    <w:p w14:paraId="585F98DC" w14:textId="77777777" w:rsidR="00A71428" w:rsidRDefault="00000000">
      <w:pPr>
        <w:spacing w:after="200" w:line="360" w:lineRule="auto"/>
      </w:pPr>
      <w:r>
        <w:t xml:space="preserve">Ministry of Business, Innovation and Employment </w:t>
      </w:r>
      <w:r>
        <w:rPr>
          <w:i/>
          <w:iCs/>
        </w:rPr>
        <w:t>Enforcement under the new financial advice regime</w:t>
      </w:r>
      <w:r>
        <w:t xml:space="preserve"> (March 2021).</w:t>
      </w:r>
    </w:p>
    <w:p w14:paraId="66780AF5" w14:textId="77777777" w:rsidR="00A71428" w:rsidRDefault="00000000">
      <w:pPr>
        <w:spacing w:after="200" w:line="360" w:lineRule="auto"/>
      </w:pPr>
      <w:r>
        <w:t xml:space="preserve">Ministry of Business, Innovation and Employment </w:t>
      </w:r>
      <w:r>
        <w:rPr>
          <w:i/>
          <w:iCs/>
        </w:rPr>
        <w:t>Liability under the new financial advice regime</w:t>
      </w:r>
      <w:r>
        <w:t xml:space="preserve"> (March 2021).</w:t>
      </w:r>
    </w:p>
    <w:p w14:paraId="26494D72" w14:textId="77777777" w:rsidR="00A71428" w:rsidRDefault="00000000">
      <w:pPr>
        <w:spacing w:after="200" w:line="360" w:lineRule="auto"/>
      </w:pPr>
      <w:r>
        <w:t xml:space="preserve">Ministry of Business, Innovation and Employment </w:t>
      </w:r>
      <w:r>
        <w:rPr>
          <w:i/>
          <w:iCs/>
        </w:rPr>
        <w:t>Final Report on Review of the operation of the Financial Advisers Act 2008 and the Financial Service Providers (Registration and Dispute Resolution) Act 2008</w:t>
      </w:r>
      <w:r>
        <w:t xml:space="preserve"> (July 2016).</w:t>
      </w:r>
    </w:p>
    <w:p w14:paraId="652CCC3A" w14:textId="77777777" w:rsidR="00A71428" w:rsidRDefault="00000000">
      <w:pPr>
        <w:spacing w:after="200" w:line="360" w:lineRule="auto"/>
      </w:pPr>
      <w:r>
        <w:t xml:space="preserve">Ministry of Business, Innovation and Employment </w:t>
      </w:r>
      <w:r>
        <w:rPr>
          <w:i/>
          <w:iCs/>
        </w:rPr>
        <w:t>Regulatory Impact Statement: Review of the Financial Advisers Act 2008</w:t>
      </w:r>
      <w:r>
        <w:t xml:space="preserve"> (June 2016).</w:t>
      </w:r>
    </w:p>
    <w:p w14:paraId="02A3C7A8" w14:textId="77777777" w:rsidR="00A71428" w:rsidRDefault="00000000">
      <w:pPr>
        <w:spacing w:after="200" w:line="360" w:lineRule="auto"/>
      </w:pPr>
      <w:r>
        <w:rPr>
          <w:i/>
          <w:iCs/>
        </w:rPr>
        <w:t>Royal Commission into Misconduct in the Banking, Superannuation and Financial Services Industry</w:t>
      </w:r>
      <w:r>
        <w:t xml:space="preserve"> (Commonwealth of Australia, Final Report, February 2019) at 25.</w:t>
      </w:r>
    </w:p>
    <w:p w14:paraId="602F31CD" w14:textId="77777777" w:rsidR="00A71428" w:rsidRDefault="00000000">
      <w:pPr>
        <w:spacing w:after="200" w:line="360" w:lineRule="auto"/>
      </w:pPr>
      <w:r>
        <w:t xml:space="preserve">Office of Legal Counsel </w:t>
      </w:r>
      <w:r>
        <w:rPr>
          <w:i/>
          <w:iCs/>
        </w:rPr>
        <w:t>Consistency with the New Zealand Bill of Rights Act 1990: Financial Services Legislation Amendment Bill</w:t>
      </w:r>
      <w:r>
        <w:t xml:space="preserve"> (Ministry of Justice, 22 June 2017).</w:t>
      </w:r>
    </w:p>
    <w:p w14:paraId="0D96610A" w14:textId="77777777" w:rsidR="00A71428" w:rsidRDefault="00000000">
      <w:pPr>
        <w:spacing w:after="200" w:line="360" w:lineRule="auto"/>
      </w:pPr>
      <w:r>
        <w:lastRenderedPageBreak/>
        <w:t xml:space="preserve">Ontario Securities Commission </w:t>
      </w:r>
      <w:r>
        <w:rPr>
          <w:i/>
          <w:iCs/>
        </w:rPr>
        <w:t>Social Media and Retail Investing: The Rise of Finfluencers</w:t>
      </w:r>
      <w:r>
        <w:t xml:space="preserve"> (22 April 2025).</w:t>
      </w:r>
    </w:p>
    <w:p w14:paraId="5D1585C3" w14:textId="77777777" w:rsidR="00A71428" w:rsidRDefault="00000000">
      <w:pPr>
        <w:spacing w:after="200" w:line="360" w:lineRule="auto"/>
        <w:jc w:val="left"/>
      </w:pPr>
      <w:r>
        <w:t xml:space="preserve">Tom Akana and Larry Santucci </w:t>
      </w:r>
      <w:r>
        <w:rPr>
          <w:i/>
          <w:iCs/>
        </w:rPr>
        <w:t>Trust and Credibility: Comparing Sources of Financial Advice</w:t>
      </w:r>
      <w:r>
        <w:t xml:space="preserve"> (Federal Reserve Bank of Philadelphia, March 2025) at 7.</w:t>
      </w:r>
    </w:p>
    <w:p w14:paraId="1DB96E79" w14:textId="77777777" w:rsidR="00A71428" w:rsidRDefault="00000000">
      <w:pPr>
        <w:spacing w:after="200" w:line="360" w:lineRule="auto"/>
      </w:pPr>
      <w:r>
        <w:t xml:space="preserve">Securities Commission “Distinguishing the Boundary Between a Financial Planning Service and Advice” (29 March 2010). </w:t>
      </w:r>
    </w:p>
    <w:p w14:paraId="6DCFC942" w14:textId="77777777" w:rsidR="00A71428" w:rsidRDefault="00A71428">
      <w:pPr>
        <w:spacing w:line="360" w:lineRule="auto"/>
      </w:pPr>
    </w:p>
    <w:p w14:paraId="5768D6BF" w14:textId="77777777" w:rsidR="00A71428" w:rsidRDefault="00000000">
      <w:pPr>
        <w:pStyle w:val="Heading3"/>
      </w:pPr>
      <w:bookmarkStart w:id="62" w:name="_heading=h.tl7xtwxknckw" w:colFirst="0" w:colLast="0"/>
      <w:bookmarkEnd w:id="62"/>
      <w:r>
        <w:t>2 Industry body publications</w:t>
      </w:r>
    </w:p>
    <w:p w14:paraId="6C033B45" w14:textId="77777777" w:rsidR="00A71428" w:rsidRDefault="00000000">
      <w:pPr>
        <w:spacing w:after="200" w:line="360" w:lineRule="auto"/>
      </w:pPr>
      <w:r>
        <w:t>Advertising Standards Authority “24/138 Informed Investor Instagram” (25 July 2024).</w:t>
      </w:r>
    </w:p>
    <w:p w14:paraId="5305B6C2" w14:textId="77777777" w:rsidR="00A71428" w:rsidRDefault="00000000">
      <w:pPr>
        <w:spacing w:after="200" w:line="360" w:lineRule="auto"/>
      </w:pPr>
      <w:r>
        <w:t xml:space="preserve">Advertising Standards Authority </w:t>
      </w:r>
      <w:r>
        <w:rPr>
          <w:i/>
          <w:iCs/>
        </w:rPr>
        <w:t>Financial Advertising Code</w:t>
      </w:r>
      <w:r>
        <w:t xml:space="preserve"> [ASA Finance Code] (1 March 2022).</w:t>
      </w:r>
    </w:p>
    <w:p w14:paraId="1D411183" w14:textId="77777777" w:rsidR="00A71428" w:rsidRDefault="00000000">
      <w:pPr>
        <w:spacing w:after="200" w:line="360" w:lineRule="auto"/>
      </w:pPr>
      <w:r>
        <w:t xml:space="preserve">Advertising Standards Authority </w:t>
      </w:r>
      <w:r>
        <w:rPr>
          <w:i/>
          <w:iCs/>
        </w:rPr>
        <w:t>Guidance Note on Identification of Advertisements</w:t>
      </w:r>
      <w:r>
        <w:t xml:space="preserve"> (February 2025).</w:t>
      </w:r>
    </w:p>
    <w:p w14:paraId="64498AAE" w14:textId="77777777" w:rsidR="00A71428" w:rsidRDefault="00000000">
      <w:pPr>
        <w:spacing w:after="200" w:line="360" w:lineRule="auto"/>
      </w:pPr>
      <w:r>
        <w:t xml:space="preserve">Financial Services Council of New Zealand </w:t>
      </w:r>
      <w:r>
        <w:rPr>
          <w:i/>
          <w:iCs/>
        </w:rPr>
        <w:t>Financial Resilience Index</w:t>
      </w:r>
      <w:r>
        <w:t xml:space="preserve"> (May 2024).</w:t>
      </w:r>
    </w:p>
    <w:p w14:paraId="745A28F9" w14:textId="77777777" w:rsidR="00A71428" w:rsidRDefault="00000000">
      <w:pPr>
        <w:spacing w:after="200" w:line="360" w:lineRule="auto"/>
      </w:pPr>
      <w:r>
        <w:t xml:space="preserve">Financial Services Council </w:t>
      </w:r>
      <w:r>
        <w:rPr>
          <w:i/>
          <w:iCs/>
        </w:rPr>
        <w:t>Money and You: Breaking through the Advice Barrier</w:t>
      </w:r>
      <w:r>
        <w:t xml:space="preserve"> (March 2020).</w:t>
      </w:r>
    </w:p>
    <w:p w14:paraId="41E2CAA6" w14:textId="77777777" w:rsidR="00A71428" w:rsidRDefault="00000000">
      <w:pPr>
        <w:spacing w:after="200" w:line="360" w:lineRule="auto"/>
      </w:pPr>
      <w:r>
        <w:t xml:space="preserve">Financial Services Council of New Zealand </w:t>
      </w:r>
      <w:r>
        <w:rPr>
          <w:i/>
          <w:iCs/>
        </w:rPr>
        <w:t>Money &amp; You: The Rise of the Digital Investor</w:t>
      </w:r>
      <w:r>
        <w:t xml:space="preserve"> (June 2021).</w:t>
      </w:r>
    </w:p>
    <w:p w14:paraId="34851540" w14:textId="77777777" w:rsidR="00A71428" w:rsidRDefault="00000000">
      <w:pPr>
        <w:spacing w:after="200" w:line="360" w:lineRule="auto"/>
      </w:pPr>
      <w:r>
        <w:t xml:space="preserve">Serena Espeute and Rhodri Preece </w:t>
      </w:r>
      <w:r>
        <w:rPr>
          <w:i/>
          <w:iCs/>
        </w:rPr>
        <w:t>The Finfluencer Appeal: Investing in the Age of Social Media</w:t>
      </w:r>
      <w:r>
        <w:t xml:space="preserve"> (CFA Research and Policy Institute, January 2024).</w:t>
      </w:r>
    </w:p>
    <w:p w14:paraId="708D1502" w14:textId="77777777" w:rsidR="00A71428" w:rsidRDefault="00000000">
      <w:pPr>
        <w:spacing w:after="200" w:line="360" w:lineRule="auto"/>
      </w:pPr>
      <w:r>
        <w:t xml:space="preserve">The Board of the International Organization of Securities Commissions </w:t>
      </w:r>
      <w:r>
        <w:rPr>
          <w:i/>
          <w:iCs/>
        </w:rPr>
        <w:t>Final Report</w:t>
      </w:r>
      <w:r>
        <w:t xml:space="preserve"> (FR/08/25, May 2025).</w:t>
      </w:r>
    </w:p>
    <w:p w14:paraId="6F6BE8FB" w14:textId="77777777" w:rsidR="00A71428" w:rsidRDefault="00A71428">
      <w:pPr>
        <w:spacing w:line="360" w:lineRule="auto"/>
      </w:pPr>
    </w:p>
    <w:p w14:paraId="19D5DDBF" w14:textId="77777777" w:rsidR="00A71428" w:rsidRDefault="00000000">
      <w:pPr>
        <w:pStyle w:val="Heading3"/>
        <w:rPr>
          <w:sz w:val="20"/>
          <w:szCs w:val="20"/>
        </w:rPr>
      </w:pPr>
      <w:bookmarkStart w:id="63" w:name="_heading=h.t3er7kyehj76" w:colFirst="0" w:colLast="0"/>
      <w:bookmarkEnd w:id="63"/>
      <w:r>
        <w:lastRenderedPageBreak/>
        <w:t xml:space="preserve">3 Journal articles </w:t>
      </w:r>
    </w:p>
    <w:p w14:paraId="3CA8A5E7" w14:textId="77777777" w:rsidR="00A71428" w:rsidRDefault="00000000">
      <w:pPr>
        <w:spacing w:after="200" w:line="360" w:lineRule="auto"/>
      </w:pPr>
      <w:r>
        <w:t>Syaiful Anshori and Nurika Restuningd “The “Influence of investors' Perceptions of Stock Influencer Credibility on Herding Behavior With Financial Literacy as a Moderating Variable” (2024) International Journal of Business and Applied Economics 3(1) 199.</w:t>
      </w:r>
    </w:p>
    <w:p w14:paraId="2CF16DA1" w14:textId="77777777" w:rsidR="00A71428" w:rsidRDefault="00000000">
      <w:pPr>
        <w:spacing w:after="200" w:line="360" w:lineRule="auto"/>
      </w:pPr>
      <w:r>
        <w:t>Paul Crosthwaite, Peter Knight and Nicky Marsh “The Economic Humanities and the History of Financial Advice” (2019) 31 American Literary History 661.</w:t>
      </w:r>
    </w:p>
    <w:p w14:paraId="450783BE" w14:textId="77777777" w:rsidR="00A71428" w:rsidRDefault="00000000">
      <w:pPr>
        <w:spacing w:after="200" w:line="360" w:lineRule="auto"/>
        <w:jc w:val="left"/>
        <w:rPr>
          <w:color w:val="222222"/>
        </w:rPr>
      </w:pPr>
      <w:r>
        <w:t>Michael Darby and Edi Karni “Free Competition and the Optimal Amount of Fraud” (1973) 16 Journal of Law and Economics 67.</w:t>
      </w:r>
    </w:p>
    <w:p w14:paraId="4C55EA16" w14:textId="77777777" w:rsidR="00A71428" w:rsidRDefault="00000000">
      <w:pPr>
        <w:spacing w:after="200" w:line="360" w:lineRule="auto"/>
        <w:rPr>
          <w:color w:val="222222"/>
        </w:rPr>
      </w:pPr>
      <w:r>
        <w:t>Giancarlo Frosio and Christophe Geiger “Taking Fundamental Rights Seriously in the Digital Services Act’s Platform Liability Regime” (2023) ELJ 29(1) 31.</w:t>
      </w:r>
    </w:p>
    <w:p w14:paraId="17023492" w14:textId="77777777" w:rsidR="00A71428" w:rsidRDefault="00000000">
      <w:pPr>
        <w:spacing w:after="200" w:line="360" w:lineRule="auto"/>
        <w:rPr>
          <w:color w:val="222222"/>
        </w:rPr>
      </w:pPr>
      <w:r>
        <w:t>Jodi Gardner “Protecting Individual Investors: A Comparative Approach” (2025) 99(3) ALJ 194.</w:t>
      </w:r>
    </w:p>
    <w:p w14:paraId="4AA79211" w14:textId="77777777" w:rsidR="00A71428" w:rsidRDefault="00000000">
      <w:pPr>
        <w:spacing w:after="200" w:line="360" w:lineRule="auto"/>
      </w:pPr>
      <w:r>
        <w:t>Dirk Gerritsen and Anouk de Regt "Influencers and Consumer Financial Decision-Making" (2025) International Journal of Consumer Studies 49(2).</w:t>
      </w:r>
    </w:p>
    <w:p w14:paraId="199B6587" w14:textId="77777777" w:rsidR="00A71428" w:rsidRDefault="00000000">
      <w:pPr>
        <w:spacing w:after="200" w:line="360" w:lineRule="auto"/>
      </w:pPr>
      <w:r>
        <w:t>Frederic Haase and others “The Role of Finfluencers in Shaping Crowd Sentiment: An Empirical Investigation” (Research Paper, Business &amp; Information Systems Engineering, 2025).</w:t>
      </w:r>
    </w:p>
    <w:p w14:paraId="7992AD3A" w14:textId="77777777" w:rsidR="00A71428" w:rsidRDefault="00000000">
      <w:pPr>
        <w:spacing w:after="200" w:line="360" w:lineRule="auto"/>
      </w:pPr>
      <w:r>
        <w:t>Adam Hayes and Ambreen Ben-Shmuel “Under the finfluence: Financial influencers, economic meaning-making and the financialization of digital life” (2024) 53 Economy and Society 478.</w:t>
      </w:r>
    </w:p>
    <w:p w14:paraId="0B0C8B53" w14:textId="77777777" w:rsidR="00A71428" w:rsidRDefault="00000000">
      <w:pPr>
        <w:spacing w:after="200" w:line="360" w:lineRule="auto"/>
      </w:pPr>
      <w:r>
        <w:t>Chantal Hoeft “#AD: Influencer Marketing and the Fair Trading Act 1986 - An Outline of How New Zealand's Consumer Protection Law Should Respond to the Harm Resulting from Non-Disclosure of Paid Advertising on Instagram” (2022) 28 AULR 197.</w:t>
      </w:r>
    </w:p>
    <w:p w14:paraId="7B49AF5D" w14:textId="77777777" w:rsidR="00A71428" w:rsidRDefault="00000000">
      <w:pPr>
        <w:spacing w:after="200" w:line="360" w:lineRule="auto"/>
      </w:pPr>
      <w:r>
        <w:t>Lars Hornuf and others “Initial coin offerings, information disclosure, and fraud” (2022) Small Bus Econ 58 1741.</w:t>
      </w:r>
    </w:p>
    <w:p w14:paraId="54D9762C" w14:textId="77777777" w:rsidR="00A71428" w:rsidRDefault="00000000">
      <w:pPr>
        <w:spacing w:after="200" w:line="360" w:lineRule="auto"/>
      </w:pPr>
      <w:r>
        <w:t>Daniel Klug and others “Trick and Please: A Mixed-Method Study On User Assumptions About the TikTok Algorithm” (paper presented to the 13th ACM Web Science Conference, Hampshire, June 2021).</w:t>
      </w:r>
    </w:p>
    <w:p w14:paraId="35976BB3" w14:textId="77777777" w:rsidR="00A71428" w:rsidRDefault="00000000">
      <w:pPr>
        <w:spacing w:after="200" w:line="360" w:lineRule="auto"/>
      </w:pPr>
      <w:r>
        <w:lastRenderedPageBreak/>
        <w:t>Fine Leung and others “Online Influencer Marketing” (2022) Journal of the Academy of Marketing Science 50(2) 226.</w:t>
      </w:r>
    </w:p>
    <w:p w14:paraId="0D0B7338" w14:textId="77777777" w:rsidR="00A71428" w:rsidRDefault="00000000">
      <w:pPr>
        <w:spacing w:after="200" w:line="360" w:lineRule="auto"/>
      </w:pPr>
      <w:r>
        <w:t>Shu-Hsien Liao and others “Investigating Online Social Media Users’ Behaviors for Social Commerce Recommendations” (2021) 66 Technology in Society.</w:t>
      </w:r>
    </w:p>
    <w:p w14:paraId="0B4FDFDF" w14:textId="77777777" w:rsidR="00A71428" w:rsidRDefault="00000000">
      <w:pPr>
        <w:spacing w:after="200" w:line="360" w:lineRule="auto"/>
      </w:pPr>
      <w:r>
        <w:t>Chi-Cheng Luan and others “Effects of Finance Knowledge Influencer Qualities on Investment Willingness and the Moderation of followers' Risk Tolerance.” (2024) Journal of Consumer Behaviour 23(4) 1979.</w:t>
      </w:r>
    </w:p>
    <w:p w14:paraId="124C2E27" w14:textId="77777777" w:rsidR="00A71428" w:rsidRDefault="00000000">
      <w:pPr>
        <w:spacing w:after="200" w:line="360" w:lineRule="auto"/>
      </w:pPr>
      <w:r>
        <w:t>Jens Mattke and others “Herd behavior in social media: the role of Facebook likes, strength of ties, and expertise” (2020) Inf Manag 57(8).</w:t>
      </w:r>
    </w:p>
    <w:p w14:paraId="0F93543B" w14:textId="77777777" w:rsidR="00A71428" w:rsidRDefault="00000000">
      <w:pPr>
        <w:spacing w:after="200" w:line="360" w:lineRule="auto"/>
      </w:pPr>
      <w:r>
        <w:t>Jonathan Smith and others "Digital socialization: young people's changing value orientations towards internet use between adolescence and early adulthood." (2015) 18(9) Information, Communication &amp; Society 1022.</w:t>
      </w:r>
    </w:p>
    <w:p w14:paraId="2213088B" w14:textId="77777777" w:rsidR="00A71428" w:rsidRDefault="00000000">
      <w:pPr>
        <w:spacing w:after="200" w:line="360" w:lineRule="auto"/>
      </w:pPr>
      <w:hyperlink r:id="rId8">
        <w:r>
          <w:t>Matteo Solinas “The Problem of "Adverse Selection’’ in the (Proposed) Regulation of Financial Advice in New Zealand” (2017) 27 NZLR 1215</w:t>
        </w:r>
      </w:hyperlink>
      <w:r>
        <w:t>.</w:t>
      </w:r>
    </w:p>
    <w:p w14:paraId="4F3B7D4F" w14:textId="77777777" w:rsidR="00A71428" w:rsidRDefault="00000000">
      <w:pPr>
        <w:spacing w:after="200" w:line="360" w:lineRule="auto"/>
      </w:pPr>
      <w:r>
        <w:t>Anthony Song and Justine Rogers “Lawfluencers: Legal Professionalism on TikTok and YouTube” (2023) 37 Geo J Legal Ethics 23(7) 507.</w:t>
      </w:r>
    </w:p>
    <w:p w14:paraId="38431E1C" w14:textId="77777777" w:rsidR="00A71428" w:rsidRDefault="00000000">
      <w:pPr>
        <w:spacing w:after="200" w:line="360" w:lineRule="auto"/>
      </w:pPr>
      <w:r>
        <w:t>Victoria Stace "Mis-selling financial products: when can the customer claim in negligence" (2016) JBL 6 517.</w:t>
      </w:r>
    </w:p>
    <w:p w14:paraId="01E6ECEB" w14:textId="77777777" w:rsidR="00A71428" w:rsidRDefault="00000000">
      <w:pPr>
        <w:spacing w:after="200" w:line="360" w:lineRule="auto"/>
      </w:pPr>
      <w:r>
        <w:t>Joshua White and others “The role of the media in speculative markets: Evidence from non-fungible tokens (NFTs)” (24 May 2022) Social Science Research Network &lt;www.ssrn.com&gt;.</w:t>
      </w:r>
    </w:p>
    <w:p w14:paraId="131BB78F" w14:textId="77777777" w:rsidR="00A71428" w:rsidRDefault="00000000">
      <w:pPr>
        <w:spacing w:after="200" w:line="360" w:lineRule="auto"/>
      </w:pPr>
      <w:r>
        <w:t>Scott Yang ""This Isn't Financial Advice!"": Finfluencers and New Zealand's Financial Advice Laws" (2024) NZ L Rev 471.</w:t>
      </w:r>
    </w:p>
    <w:p w14:paraId="295DA7AB" w14:textId="77777777" w:rsidR="00A71428" w:rsidRDefault="00000000">
      <w:pPr>
        <w:spacing w:after="200" w:line="360" w:lineRule="auto"/>
      </w:pPr>
      <w:r>
        <w:t>Annie Zhang and others “Peer effects, personal characteristics and asset allocation” (2018) 90 Journal of Banking &amp; Finance 76.</w:t>
      </w:r>
    </w:p>
    <w:p w14:paraId="08F616E1" w14:textId="77777777" w:rsidR="00A71428" w:rsidRDefault="00A71428">
      <w:pPr>
        <w:spacing w:after="200" w:line="360" w:lineRule="auto"/>
      </w:pPr>
    </w:p>
    <w:p w14:paraId="63D85B5A" w14:textId="77777777" w:rsidR="00A71428" w:rsidRDefault="00000000">
      <w:pPr>
        <w:pStyle w:val="Heading3"/>
      </w:pPr>
      <w:bookmarkStart w:id="64" w:name="_heading=h.qvysai76ni0f" w:colFirst="0" w:colLast="0"/>
      <w:bookmarkEnd w:id="64"/>
      <w:r>
        <w:lastRenderedPageBreak/>
        <w:t>4 Books</w:t>
      </w:r>
    </w:p>
    <w:p w14:paraId="7E356C93" w14:textId="77777777" w:rsidR="00A71428" w:rsidRDefault="00000000">
      <w:pPr>
        <w:spacing w:after="200" w:line="360" w:lineRule="auto"/>
      </w:pPr>
      <w:r>
        <w:t xml:space="preserve">John Armour and others </w:t>
      </w:r>
      <w:r>
        <w:rPr>
          <w:i/>
          <w:iCs/>
        </w:rPr>
        <w:t>Principles of Financial Regulation</w:t>
      </w:r>
      <w:r>
        <w:t xml:space="preserve"> (Oxford University Press, 2016).</w:t>
      </w:r>
    </w:p>
    <w:p w14:paraId="62933E48" w14:textId="77777777" w:rsidR="00A71428" w:rsidRDefault="00000000">
      <w:pPr>
        <w:spacing w:after="200" w:line="360" w:lineRule="auto"/>
      </w:pPr>
      <w:r>
        <w:t xml:space="preserve">Randy Martin </w:t>
      </w:r>
      <w:r>
        <w:rPr>
          <w:i/>
          <w:iCs/>
        </w:rPr>
        <w:t>Financialisation of daily life</w:t>
      </w:r>
      <w:r>
        <w:t xml:space="preserve"> (Temple University Press, Philadelphia, 2002).</w:t>
      </w:r>
    </w:p>
    <w:p w14:paraId="45C94C2A" w14:textId="77777777" w:rsidR="00A71428" w:rsidRDefault="00000000">
      <w:pPr>
        <w:spacing w:after="200" w:line="360" w:lineRule="auto"/>
        <w:jc w:val="left"/>
      </w:pPr>
      <w:r>
        <w:t xml:space="preserve">Victoria Stace “Financial Adviser Regulation” in </w:t>
      </w:r>
      <w:r>
        <w:rPr>
          <w:i/>
          <w:iCs/>
        </w:rPr>
        <w:t>Financial Markets Conduct Regulation: A Practitioner’s Guide</w:t>
      </w:r>
      <w:r>
        <w:t xml:space="preserve"> (LexisNexis, Wellington, 2014).</w:t>
      </w:r>
    </w:p>
    <w:p w14:paraId="567BB256" w14:textId="77777777" w:rsidR="00A71428" w:rsidRDefault="00000000">
      <w:pPr>
        <w:spacing w:after="200" w:line="360" w:lineRule="auto"/>
      </w:pPr>
      <w:r>
        <w:t xml:space="preserve">Victoria Stace </w:t>
      </w:r>
      <w:r>
        <w:rPr>
          <w:i/>
          <w:iCs/>
        </w:rPr>
        <w:t>Securities Law in New Zealand</w:t>
      </w:r>
      <w:r>
        <w:t xml:space="preserve"> (1st ed, LexisNexis, Wellington, 2010).</w:t>
      </w:r>
    </w:p>
    <w:p w14:paraId="6275673B" w14:textId="77777777" w:rsidR="00A71428" w:rsidRDefault="00A71428">
      <w:pPr>
        <w:spacing w:after="200" w:line="360" w:lineRule="auto"/>
      </w:pPr>
    </w:p>
    <w:p w14:paraId="4D06220B" w14:textId="77777777" w:rsidR="00A71428" w:rsidRDefault="00000000">
      <w:pPr>
        <w:pStyle w:val="Heading3"/>
        <w:spacing w:after="200"/>
      </w:pPr>
      <w:bookmarkStart w:id="65" w:name="_heading=h.2cvfgbkxr9j2" w:colFirst="0" w:colLast="0"/>
      <w:bookmarkEnd w:id="65"/>
      <w:r>
        <w:t>5 News articles</w:t>
      </w:r>
    </w:p>
    <w:p w14:paraId="7F54D124" w14:textId="77777777" w:rsidR="00A71428" w:rsidRDefault="00000000">
      <w:pPr>
        <w:spacing w:after="200" w:line="360" w:lineRule="auto"/>
      </w:pPr>
      <w:r>
        <w:t xml:space="preserve">Martina Barash “Wrestler Logan Paul Gets Reprieve in CryptoZoo Fraud Lawsuit” </w:t>
      </w:r>
      <w:r>
        <w:rPr>
          <w:i/>
          <w:iCs/>
        </w:rPr>
        <w:t>Bloomberg Law</w:t>
      </w:r>
      <w:r>
        <w:t xml:space="preserve"> (New York, 31 October 2025).</w:t>
      </w:r>
    </w:p>
    <w:p w14:paraId="73E8476A" w14:textId="77777777" w:rsidR="00A71428" w:rsidRDefault="00000000">
      <w:pPr>
        <w:spacing w:after="200" w:line="360" w:lineRule="auto"/>
      </w:pPr>
      <w:r>
        <w:t xml:space="preserve">Andrew Bevin “'Illegal' TV gambling ads difficult to address” </w:t>
      </w:r>
      <w:r>
        <w:rPr>
          <w:i/>
          <w:iCs/>
        </w:rPr>
        <w:t>Newsroom</w:t>
      </w:r>
      <w:r>
        <w:t xml:space="preserve"> (Auckland, 14 September 2023).</w:t>
      </w:r>
    </w:p>
    <w:p w14:paraId="31089895" w14:textId="77777777" w:rsidR="00A71428" w:rsidRDefault="00000000">
      <w:pPr>
        <w:spacing w:after="200" w:line="360" w:lineRule="auto"/>
      </w:pPr>
      <w:r>
        <w:t xml:space="preserve">Katie Bishop “Should you trust personal finance advice from a 'finfluencer'?” </w:t>
      </w:r>
      <w:r>
        <w:rPr>
          <w:i/>
          <w:iCs/>
        </w:rPr>
        <w:t>BBC</w:t>
      </w:r>
      <w:r>
        <w:t xml:space="preserve"> (18 September 2023).</w:t>
      </w:r>
    </w:p>
    <w:p w14:paraId="31D25556" w14:textId="77777777" w:rsidR="00A71428" w:rsidRDefault="00000000">
      <w:pPr>
        <w:spacing w:after="200" w:line="360" w:lineRule="auto"/>
      </w:pPr>
      <w:r>
        <w:t xml:space="preserve">Te Kahukura Boynton “My plan to become a Māori Millionaire in my 20s” </w:t>
      </w:r>
      <w:r>
        <w:rPr>
          <w:i/>
          <w:iCs/>
        </w:rPr>
        <w:t>Sunday Star Times</w:t>
      </w:r>
      <w:r>
        <w:t xml:space="preserve"> (online ed, Auckland, 1 January 2023).</w:t>
      </w:r>
    </w:p>
    <w:p w14:paraId="6D208979" w14:textId="77777777" w:rsidR="00A71428" w:rsidRDefault="00000000">
      <w:pPr>
        <w:spacing w:after="200" w:line="360" w:lineRule="auto"/>
      </w:pPr>
      <w:r>
        <w:t xml:space="preserve">Danelle Clayton “Simran Kaur: optometry graduate focuses on a different vision” </w:t>
      </w:r>
      <w:r>
        <w:rPr>
          <w:i/>
          <w:iCs/>
        </w:rPr>
        <w:t>The University of Auckland</w:t>
      </w:r>
      <w:r>
        <w:t xml:space="preserve"> (1 November 2022).</w:t>
      </w:r>
    </w:p>
    <w:p w14:paraId="1446E0DE" w14:textId="77777777" w:rsidR="00A71428" w:rsidRDefault="00000000">
      <w:pPr>
        <w:spacing w:after="200" w:line="360" w:lineRule="auto"/>
      </w:pPr>
      <w:r>
        <w:t xml:space="preserve">Sarah Danckert “‘Finfluencer’ follower wins nearly $500,000 in court over failed investment” </w:t>
      </w:r>
      <w:r>
        <w:rPr>
          <w:i/>
          <w:iCs/>
        </w:rPr>
        <w:t>Sydney Morning Herald</w:t>
      </w:r>
      <w:r>
        <w:t xml:space="preserve"> (15 October 2021).</w:t>
      </w:r>
    </w:p>
    <w:p w14:paraId="7E2D6C80" w14:textId="77777777" w:rsidR="00A71428" w:rsidRDefault="00000000">
      <w:pPr>
        <w:spacing w:after="200" w:line="360" w:lineRule="auto"/>
      </w:pPr>
      <w:r>
        <w:t xml:space="preserve">Lucy Dean “Finfluencers ‘scared’ ASIC will make an example of them” </w:t>
      </w:r>
      <w:r>
        <w:rPr>
          <w:i/>
          <w:iCs/>
        </w:rPr>
        <w:t>Australian Financial Review</w:t>
      </w:r>
      <w:r>
        <w:t xml:space="preserve"> (Sydney, 12 August 2022).</w:t>
      </w:r>
    </w:p>
    <w:p w14:paraId="2FA8721F" w14:textId="77777777" w:rsidR="00A71428" w:rsidRDefault="00000000">
      <w:pPr>
        <w:spacing w:after="200" w:line="360" w:lineRule="auto"/>
      </w:pPr>
      <w:r>
        <w:t xml:space="preserve">Lucy Dean “Finfluencers turn pro after ASIC warnings” </w:t>
      </w:r>
      <w:r>
        <w:rPr>
          <w:i/>
          <w:iCs/>
        </w:rPr>
        <w:t>Australian Financial Review</w:t>
      </w:r>
      <w:r>
        <w:t xml:space="preserve"> (Sydney, 12 August 2022).</w:t>
      </w:r>
    </w:p>
    <w:p w14:paraId="6C2EE042" w14:textId="77777777" w:rsidR="00A71428" w:rsidRDefault="00000000">
      <w:pPr>
        <w:spacing w:after="200" w:line="360" w:lineRule="auto"/>
      </w:pPr>
      <w:r>
        <w:lastRenderedPageBreak/>
        <w:t xml:space="preserve">Digital Staff “Natasha is 28 years old with $310,000 in shares and a $1 million net worth — these are the rules she swears by” </w:t>
      </w:r>
      <w:r>
        <w:rPr>
          <w:i/>
          <w:iCs/>
        </w:rPr>
        <w:t xml:space="preserve">7News </w:t>
      </w:r>
      <w:r>
        <w:t>(Sydney, 5 November 2025).</w:t>
      </w:r>
    </w:p>
    <w:p w14:paraId="5D5E2B60" w14:textId="77777777" w:rsidR="00A71428" w:rsidRDefault="00000000">
      <w:pPr>
        <w:spacing w:after="200" w:line="360" w:lineRule="auto"/>
      </w:pPr>
      <w:r>
        <w:t xml:space="preserve">Jassmyn Goh “Finfluencers not to be banned: Hume” </w:t>
      </w:r>
      <w:r>
        <w:rPr>
          <w:i/>
          <w:iCs/>
        </w:rPr>
        <w:t>Money Management</w:t>
      </w:r>
      <w:r>
        <w:t xml:space="preserve"> (Sydney, 21 September 2021).</w:t>
      </w:r>
    </w:p>
    <w:p w14:paraId="00B2F532" w14:textId="77777777" w:rsidR="00A71428" w:rsidRDefault="00000000">
      <w:pPr>
        <w:spacing w:after="200" w:line="360" w:lineRule="auto"/>
      </w:pPr>
      <w:r>
        <w:t xml:space="preserve">Lucy Dean and Aleks Vickovich “ASIC ‘censorship’ clears way for crypto spruikers” </w:t>
      </w:r>
      <w:r>
        <w:rPr>
          <w:i/>
          <w:iCs/>
        </w:rPr>
        <w:t>Australian Financial Review</w:t>
      </w:r>
      <w:r>
        <w:t xml:space="preserve"> (Sydney, 24 March 2022).</w:t>
      </w:r>
    </w:p>
    <w:p w14:paraId="6C75212E" w14:textId="77777777" w:rsidR="00A71428" w:rsidRDefault="00000000">
      <w:pPr>
        <w:spacing w:after="200" w:line="360" w:lineRule="auto"/>
      </w:pPr>
      <w:r>
        <w:t xml:space="preserve">Hassan Elhais “New UAE Law Regulates Finfluencers and Financial Information Provided on Social Media” </w:t>
      </w:r>
      <w:r>
        <w:rPr>
          <w:i/>
          <w:iCs/>
        </w:rPr>
        <w:t>Chambers and Partners</w:t>
      </w:r>
      <w:r>
        <w:t xml:space="preserve"> (Dubai, 12 July 2025)</w:t>
      </w:r>
    </w:p>
    <w:p w14:paraId="6486CD62" w14:textId="77777777" w:rsidR="00A71428" w:rsidRDefault="00000000">
      <w:pPr>
        <w:spacing w:after="200" w:line="360" w:lineRule="auto"/>
      </w:pPr>
      <w:r>
        <w:t xml:space="preserve">“China to Bar Financial Product Marketing Via Celebrity Livestreamers” </w:t>
      </w:r>
      <w:r>
        <w:rPr>
          <w:i/>
          <w:iCs/>
        </w:rPr>
        <w:t>FiNews.Asia</w:t>
      </w:r>
      <w:r>
        <w:t xml:space="preserve"> (Singapore, 3 Jan 2022).</w:t>
      </w:r>
    </w:p>
    <w:p w14:paraId="22820E95" w14:textId="77777777" w:rsidR="00A71428" w:rsidRDefault="00000000">
      <w:pPr>
        <w:spacing w:after="200" w:line="360" w:lineRule="auto"/>
      </w:pPr>
      <w:r>
        <w:t xml:space="preserve">Duncan Greive “Banks are grappling with a scam ‘crisis’ while Facebook profits from it” </w:t>
      </w:r>
      <w:r>
        <w:rPr>
          <w:i/>
          <w:iCs/>
        </w:rPr>
        <w:t>The Spinoff</w:t>
      </w:r>
      <w:r>
        <w:t xml:space="preserve"> (Auckland, 8 January 2025).</w:t>
      </w:r>
    </w:p>
    <w:p w14:paraId="727625C5" w14:textId="77777777" w:rsidR="00A71428" w:rsidRDefault="00000000">
      <w:pPr>
        <w:spacing w:after="200" w:line="360" w:lineRule="auto"/>
      </w:pPr>
      <w:r>
        <w:t xml:space="preserve">Avery Hartmans “If you bought EMAX crypto tokens when Kim Kardashian promoted them on Instagram, you'd have lost over 95% of your money by now” </w:t>
      </w:r>
      <w:r>
        <w:rPr>
          <w:i/>
          <w:iCs/>
        </w:rPr>
        <w:t>Business Insider</w:t>
      </w:r>
      <w:r>
        <w:t xml:space="preserve"> (4 October 2022).</w:t>
      </w:r>
    </w:p>
    <w:p w14:paraId="3993E6E2" w14:textId="77777777" w:rsidR="00A71428" w:rsidRDefault="00000000">
      <w:pPr>
        <w:spacing w:after="200" w:line="360" w:lineRule="auto"/>
      </w:pPr>
      <w:r>
        <w:t xml:space="preserve">Ellie House “FinTok: how TikTok is helping young people use cash wisely” </w:t>
      </w:r>
      <w:r>
        <w:rPr>
          <w:i/>
          <w:iCs/>
        </w:rPr>
        <w:t>The Guardian</w:t>
      </w:r>
      <w:r>
        <w:t xml:space="preserve"> (London, 10 Jul 2021).</w:t>
      </w:r>
    </w:p>
    <w:p w14:paraId="7A0D50BA" w14:textId="77777777" w:rsidR="00A71428" w:rsidRDefault="00000000">
      <w:pPr>
        <w:spacing w:after="200" w:line="360" w:lineRule="auto"/>
      </w:pPr>
      <w:r>
        <w:t xml:space="preserve">Ang Hwee Min “'Not financial advice': How new content creation guidelines could shake up Singapore's finfluencing landscape” </w:t>
      </w:r>
      <w:r>
        <w:rPr>
          <w:i/>
          <w:iCs/>
        </w:rPr>
        <w:t>Channel News Asia</w:t>
      </w:r>
      <w:r>
        <w:t xml:space="preserve"> (Singapore, 9 October 2025). </w:t>
      </w:r>
    </w:p>
    <w:p w14:paraId="6BDEED99" w14:textId="77777777" w:rsidR="00A71428" w:rsidRDefault="00000000">
      <w:pPr>
        <w:spacing w:after="200" w:line="360" w:lineRule="auto"/>
      </w:pPr>
      <w:r>
        <w:t xml:space="preserve">Isabella Kwai “Financial Advice on Social Media Is Growing. And Risky.” </w:t>
      </w:r>
      <w:r>
        <w:rPr>
          <w:i/>
          <w:iCs/>
        </w:rPr>
        <w:t>New York Times</w:t>
      </w:r>
      <w:r>
        <w:t xml:space="preserve"> (25 January 2025).</w:t>
      </w:r>
    </w:p>
    <w:p w14:paraId="624DF45A" w14:textId="77777777" w:rsidR="00A71428" w:rsidRDefault="00000000">
      <w:pPr>
        <w:spacing w:after="200" w:line="360" w:lineRule="auto"/>
      </w:pPr>
      <w:r>
        <w:t xml:space="preserve">Sally Kidson “Bridgecorp claimants owed $3.2m” </w:t>
      </w:r>
      <w:r>
        <w:rPr>
          <w:i/>
          <w:iCs/>
        </w:rPr>
        <w:t>Nelson Mail</w:t>
      </w:r>
      <w:r>
        <w:t xml:space="preserve"> (16 December 2009).</w:t>
      </w:r>
    </w:p>
    <w:p w14:paraId="63A3FE94" w14:textId="77777777" w:rsidR="00A71428" w:rsidRDefault="00000000">
      <w:pPr>
        <w:spacing w:after="200" w:line="360" w:lineRule="auto"/>
      </w:pPr>
      <w:r>
        <w:t xml:space="preserve">Joseph Los'e “Four influencers, including Calen Morris and Millie Elder-Holmes, caught up in $125,000 Government gambling ad crackdown” </w:t>
      </w:r>
      <w:r>
        <w:rPr>
          <w:i/>
          <w:iCs/>
        </w:rPr>
        <w:t>New Zealand Herald</w:t>
      </w:r>
      <w:r>
        <w:t xml:space="preserve"> (Auckland, 28 September 2025).</w:t>
      </w:r>
    </w:p>
    <w:p w14:paraId="256A6476" w14:textId="77777777" w:rsidR="00A71428" w:rsidRDefault="00000000">
      <w:pPr>
        <w:spacing w:after="200" w:line="360" w:lineRule="auto"/>
      </w:pPr>
      <w:r>
        <w:lastRenderedPageBreak/>
        <w:t xml:space="preserve">William Mace "Investors disappointed at Blue Chip founder's sentence" </w:t>
      </w:r>
      <w:r>
        <w:rPr>
          <w:i/>
          <w:iCs/>
        </w:rPr>
        <w:t>The Dominion Post</w:t>
      </w:r>
      <w:r>
        <w:t xml:space="preserve"> (New Zealand, 21 May 2010).</w:t>
      </w:r>
    </w:p>
    <w:p w14:paraId="7D9CBD88" w14:textId="77777777" w:rsidR="00A71428" w:rsidRDefault="00000000">
      <w:pPr>
        <w:spacing w:after="200" w:line="360" w:lineRule="auto"/>
      </w:pPr>
      <w:r>
        <w:t xml:space="preserve">Will Mace "TikTok clock ticking for investment advice" </w:t>
      </w:r>
      <w:r>
        <w:rPr>
          <w:i/>
          <w:iCs/>
        </w:rPr>
        <w:t>National Business Review</w:t>
      </w:r>
      <w:r>
        <w:t xml:space="preserve"> (Auckland, 28 March 2022).</w:t>
      </w:r>
    </w:p>
    <w:p w14:paraId="0120133B" w14:textId="77777777" w:rsidR="00A71428" w:rsidRDefault="00000000">
      <w:pPr>
        <w:spacing w:after="200" w:line="360" w:lineRule="auto"/>
      </w:pPr>
      <w:r>
        <w:t xml:space="preserve">“Sagarika Mishra says you can’t beat the bank by paying $1 a day extra on your mortgage. Here’s how compound interest really works” </w:t>
      </w:r>
      <w:r>
        <w:rPr>
          <w:i/>
          <w:iCs/>
        </w:rPr>
        <w:t xml:space="preserve">Interest.co.nz </w:t>
      </w:r>
      <w:r>
        <w:t xml:space="preserve">(Auckland, 22 April 2023). </w:t>
      </w:r>
    </w:p>
    <w:p w14:paraId="468E6579" w14:textId="77777777" w:rsidR="00A71428" w:rsidRDefault="00000000">
      <w:pPr>
        <w:spacing w:after="200" w:line="360" w:lineRule="auto"/>
      </w:pPr>
      <w:r>
        <w:t xml:space="preserve">Rhea Nath “Why (licensed) finfluencers could be the missing piece in the advice puzzle” </w:t>
      </w:r>
      <w:r>
        <w:rPr>
          <w:i/>
          <w:iCs/>
        </w:rPr>
        <w:t>Money Management</w:t>
      </w:r>
      <w:r>
        <w:t xml:space="preserve"> (Sydney, 6 June 2023).</w:t>
      </w:r>
    </w:p>
    <w:p w14:paraId="5FD79EC9" w14:textId="77777777" w:rsidR="00A71428" w:rsidRDefault="00000000">
      <w:pPr>
        <w:spacing w:after="200" w:line="360" w:lineRule="auto"/>
      </w:pPr>
      <w:r>
        <w:t>Lisa Owen “KiwiSaver fund manager slams 'disturbing' social media hacks to falsely access funds”</w:t>
      </w:r>
      <w:r>
        <w:rPr>
          <w:i/>
          <w:iCs/>
        </w:rPr>
        <w:t xml:space="preserve"> Radio New Zealand</w:t>
      </w:r>
      <w:r>
        <w:t xml:space="preserve"> (Auckland, 12 June 2025).</w:t>
      </w:r>
    </w:p>
    <w:p w14:paraId="6DF3636D" w14:textId="77777777" w:rsidR="00A71428" w:rsidRDefault="00000000">
      <w:pPr>
        <w:spacing w:after="200" w:line="360" w:lineRule="auto"/>
      </w:pPr>
      <w:r>
        <w:t>Sarah Sharples “Sydney marketing manager Queenie Tan shares how she built $350,000 net worth”</w:t>
      </w:r>
      <w:r>
        <w:rPr>
          <w:i/>
          <w:iCs/>
        </w:rPr>
        <w:t xml:space="preserve"> News.com.au</w:t>
      </w:r>
      <w:r>
        <w:t xml:space="preserve"> (Sydney, 30 April 2021).</w:t>
      </w:r>
    </w:p>
    <w:p w14:paraId="2D3A47B5" w14:textId="77777777" w:rsidR="00A71428" w:rsidRDefault="00000000">
      <w:pPr>
        <w:spacing w:after="200" w:line="360" w:lineRule="auto"/>
      </w:pPr>
      <w:r>
        <w:t xml:space="preserve">Cameron Smith "Revealed: How many young Kiwis trust social media for financial advice" </w:t>
      </w:r>
      <w:r>
        <w:rPr>
          <w:i/>
          <w:iCs/>
        </w:rPr>
        <w:t>New Zealand Herald</w:t>
      </w:r>
      <w:r>
        <w:t xml:space="preserve"> (Auckland, 26 July 2022).</w:t>
      </w:r>
    </w:p>
    <w:p w14:paraId="2FDDAF04" w14:textId="77777777" w:rsidR="00A71428" w:rsidRDefault="00000000">
      <w:pPr>
        <w:spacing w:after="200" w:line="360" w:lineRule="auto"/>
      </w:pPr>
      <w:r>
        <w:t xml:space="preserve">Mandy Te "FMA warns New Zealanders about ‘pump and dump’ scam after receiving complaints with multiple victims losing significant amounts of money" </w:t>
      </w:r>
      <w:r>
        <w:rPr>
          <w:i/>
          <w:iCs/>
        </w:rPr>
        <w:t>Interest.co.nz</w:t>
      </w:r>
      <w:r>
        <w:t xml:space="preserve"> (Auckland, 6 October 2025).</w:t>
      </w:r>
    </w:p>
    <w:p w14:paraId="668FF222" w14:textId="77777777" w:rsidR="00A71428" w:rsidRDefault="00000000">
      <w:pPr>
        <w:spacing w:after="200" w:line="360" w:lineRule="auto"/>
      </w:pPr>
      <w:r>
        <w:t xml:space="preserve">“Over half of those who have acted on social media financial advice have lost money, TSB finds – as Bank shares consumer advice” (9 July 2025) </w:t>
      </w:r>
      <w:r>
        <w:rPr>
          <w:i/>
          <w:iCs/>
        </w:rPr>
        <w:t>TSB</w:t>
      </w:r>
      <w:r>
        <w:t xml:space="preserve"> &lt;www.tsb.co.uk&gt;.</w:t>
      </w:r>
    </w:p>
    <w:p w14:paraId="3B48FFB5" w14:textId="77777777" w:rsidR="00A71428" w:rsidRDefault="00000000">
      <w:pPr>
        <w:spacing w:after="200" w:line="360" w:lineRule="auto"/>
      </w:pPr>
      <w:r>
        <w:t xml:space="preserve">Aleks Vickovich “Finfluencers’ bid early goodbye after private ASIC briefing” </w:t>
      </w:r>
      <w:r>
        <w:rPr>
          <w:i/>
          <w:iCs/>
        </w:rPr>
        <w:t>Australian Financial Review</w:t>
      </w:r>
      <w:r>
        <w:t xml:space="preserve"> (Sydney, 1 April 2022).</w:t>
      </w:r>
    </w:p>
    <w:p w14:paraId="7A86982B" w14:textId="77777777" w:rsidR="00A71428" w:rsidRDefault="00000000">
      <w:pPr>
        <w:spacing w:after="200" w:line="360" w:lineRule="auto"/>
      </w:pPr>
      <w:r>
        <w:t xml:space="preserve">Aleks Vickovich “Finfluencers: BNPL ads more dangerous than us” </w:t>
      </w:r>
      <w:r>
        <w:rPr>
          <w:i/>
          <w:iCs/>
        </w:rPr>
        <w:t>Australian Financial Review</w:t>
      </w:r>
      <w:r>
        <w:t xml:space="preserve"> (15 November 2021).</w:t>
      </w:r>
    </w:p>
    <w:p w14:paraId="1888AC86" w14:textId="77777777" w:rsidR="00A71428" w:rsidRDefault="00000000">
      <w:pPr>
        <w:spacing w:after="200" w:line="360" w:lineRule="auto"/>
      </w:pPr>
      <w:r>
        <w:t xml:space="preserve">Aleks Vickovich “Finfluencer crackdown highlights ludicrous advice laws” </w:t>
      </w:r>
      <w:r>
        <w:rPr>
          <w:i/>
          <w:iCs/>
        </w:rPr>
        <w:t>Australian Financial Review</w:t>
      </w:r>
      <w:r>
        <w:t xml:space="preserve"> (Sydney, 22 March 2022).</w:t>
      </w:r>
    </w:p>
    <w:p w14:paraId="4E4F50BE" w14:textId="77777777" w:rsidR="00A71428" w:rsidRDefault="00000000">
      <w:pPr>
        <w:spacing w:after="200" w:line="360" w:lineRule="auto"/>
      </w:pPr>
      <w:r>
        <w:lastRenderedPageBreak/>
        <w:t xml:space="preserve">Rhiana Whitson “Finfluencers are on the rise, so are they friend or foe? It can be murky territory” </w:t>
      </w:r>
      <w:r>
        <w:rPr>
          <w:i/>
          <w:iCs/>
        </w:rPr>
        <w:t>ABC News</w:t>
      </w:r>
      <w:r>
        <w:t xml:space="preserve"> ( Sydney, 14 July 2021).</w:t>
      </w:r>
    </w:p>
    <w:p w14:paraId="53D96E7A" w14:textId="77777777" w:rsidR="00A71428" w:rsidRDefault="00000000">
      <w:pPr>
        <w:spacing w:after="200" w:line="360" w:lineRule="auto"/>
      </w:pPr>
      <w:r>
        <w:t xml:space="preserve">Maya Yang "The vast majority of NFTs are now worthless, new report shows" </w:t>
      </w:r>
      <w:r>
        <w:rPr>
          <w:i/>
          <w:iCs/>
        </w:rPr>
        <w:t>The Guardian</w:t>
      </w:r>
      <w:r>
        <w:t xml:space="preserve"> (London, 22 September 2023).</w:t>
      </w:r>
    </w:p>
    <w:p w14:paraId="577015E9" w14:textId="77777777" w:rsidR="00A71428" w:rsidRDefault="00A71428">
      <w:pPr>
        <w:spacing w:line="240" w:lineRule="auto"/>
      </w:pPr>
    </w:p>
    <w:p w14:paraId="02057273" w14:textId="77777777" w:rsidR="00A71428" w:rsidRDefault="00000000">
      <w:pPr>
        <w:pStyle w:val="Heading3"/>
      </w:pPr>
      <w:bookmarkStart w:id="66" w:name="_heading=h.69c9w1enr4vk" w:colFirst="0" w:colLast="0"/>
      <w:bookmarkEnd w:id="66"/>
      <w:r>
        <w:t>6 Internet materials</w:t>
      </w:r>
    </w:p>
    <w:p w14:paraId="26046159" w14:textId="77777777" w:rsidR="00A71428" w:rsidRDefault="00000000">
      <w:pPr>
        <w:spacing w:after="200" w:line="360" w:lineRule="auto"/>
      </w:pPr>
      <w:r>
        <w:t>Advertising Standards Authority “About Us” &lt;www.asa.co.nz&gt;</w:t>
      </w:r>
    </w:p>
    <w:p w14:paraId="11175653" w14:textId="77777777" w:rsidR="00A71428" w:rsidRDefault="00000000">
      <w:pPr>
        <w:spacing w:after="200" w:line="360" w:lineRule="auto"/>
      </w:pPr>
      <w:r>
        <w:t>Advertising Standards Authority “Our Jurisdiction” &lt;www.asa.co.nz&gt;</w:t>
      </w:r>
    </w:p>
    <w:p w14:paraId="4757611A" w14:textId="77777777" w:rsidR="00A71428" w:rsidRDefault="00000000">
      <w:pPr>
        <w:spacing w:after="200" w:line="360" w:lineRule="auto"/>
      </w:pPr>
      <w:r>
        <w:t>David Adam "Does Fact-Checking Work? Here’s What the Science Says" (15 January 2025) Scientific American &lt;www.scientificamerican.com&gt;</w:t>
      </w:r>
    </w:p>
    <w:p w14:paraId="7E351010" w14:textId="77777777" w:rsidR="00A71428" w:rsidRDefault="00000000">
      <w:pPr>
        <w:spacing w:after="200" w:line="360" w:lineRule="auto"/>
      </w:pPr>
      <w:r>
        <w:t>Financial Markets Authority “Financial Advice Provider licensing” (26 Feburary 2025) &lt;www.fma.govt.nz&gt;.</w:t>
      </w:r>
    </w:p>
    <w:p w14:paraId="54B62C0C" w14:textId="77777777" w:rsidR="00A71428" w:rsidRDefault="00000000">
      <w:pPr>
        <w:spacing w:after="200" w:line="360" w:lineRule="auto"/>
      </w:pPr>
      <w:r>
        <w:t>Financial Markets Authority “Getting advice” (15 March 2021) &lt;www.fma.govt.nz&gt;.</w:t>
      </w:r>
    </w:p>
    <w:p w14:paraId="6BC4BA53" w14:textId="77777777" w:rsidR="00A71428" w:rsidRDefault="00000000">
      <w:pPr>
        <w:spacing w:after="200" w:line="360" w:lineRule="auto"/>
      </w:pPr>
      <w:r>
        <w:t>Financial Markets Authority "Problems with your financial adviser" (15 March 2021) &lt;www.fma.govt.nz&gt;.</w:t>
      </w:r>
    </w:p>
    <w:p w14:paraId="752CE68E" w14:textId="77777777" w:rsidR="00A71428" w:rsidRDefault="00000000">
      <w:pPr>
        <w:spacing w:after="200" w:line="360" w:lineRule="auto"/>
      </w:pPr>
      <w:r>
        <w:t>Kirsti Lang “How Often Should You Post on Instagram in 2025?” (13 August 2025) Buffer &lt;www.buffer.com/&gt;.</w:t>
      </w:r>
    </w:p>
    <w:p w14:paraId="5695BEB6" w14:textId="77777777" w:rsidR="00A71428" w:rsidRDefault="00000000">
      <w:pPr>
        <w:spacing w:after="200" w:line="360" w:lineRule="auto"/>
      </w:pPr>
      <w:r>
        <w:t>Kirsti Lang “How Often Should You Post on TikTok? Data From 11 Million+ Posts TikTok” (8 October 2025) Buffer &lt;www.buffer.com/&gt;.</w:t>
      </w:r>
    </w:p>
    <w:p w14:paraId="49C21FF6" w14:textId="77777777" w:rsidR="00A71428" w:rsidRDefault="00000000">
      <w:pPr>
        <w:spacing w:after="200" w:line="360" w:lineRule="auto"/>
      </w:pPr>
      <w:r>
        <w:t>“Definition of client noun” Oxford Advanced Learner's Dictionary &lt;www.oxfordlearnersdictionaries.com&gt;.</w:t>
      </w:r>
    </w:p>
    <w:p w14:paraId="37510406" w14:textId="77777777" w:rsidR="00A71428" w:rsidRDefault="00000000">
      <w:pPr>
        <w:spacing w:after="200" w:line="360" w:lineRule="auto"/>
      </w:pPr>
      <w:r>
        <w:t>“Definition of viewer noun” Oxford Advanced Learner's Dictionary &lt;www.oxfordlearnersdictionaries.com&gt;.</w:t>
      </w:r>
    </w:p>
    <w:p w14:paraId="3A1423FC" w14:textId="77777777" w:rsidR="00A71428" w:rsidRDefault="00000000">
      <w:pPr>
        <w:spacing w:after="200" w:line="360" w:lineRule="auto"/>
      </w:pPr>
      <w:r>
        <w:t xml:space="preserve">“Community Guidelines” TikTok &lt;www.tiktok.com&gt; </w:t>
      </w:r>
    </w:p>
    <w:p w14:paraId="31B5512A" w14:textId="77777777" w:rsidR="00A71428" w:rsidRDefault="00000000">
      <w:pPr>
        <w:spacing w:after="200" w:line="360" w:lineRule="auto"/>
      </w:pPr>
      <w:r>
        <w:t xml:space="preserve">“Content violations and bans” TikTok &lt;www.tiktok.com&gt; </w:t>
      </w:r>
    </w:p>
    <w:p w14:paraId="13F79133" w14:textId="77777777" w:rsidR="00A71428" w:rsidRDefault="00A71428"/>
    <w:sectPr w:rsidR="00A71428">
      <w:headerReference w:type="default" r:id="rId9"/>
      <w:footerReference w:type="defaul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D54E5" w14:textId="77777777" w:rsidR="004B2306" w:rsidRDefault="004B2306">
      <w:pPr>
        <w:spacing w:line="240" w:lineRule="auto"/>
      </w:pPr>
      <w:r>
        <w:separator/>
      </w:r>
    </w:p>
  </w:endnote>
  <w:endnote w:type="continuationSeparator" w:id="0">
    <w:p w14:paraId="78B0AD5C" w14:textId="77777777" w:rsidR="004B2306" w:rsidRDefault="004B23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FD12033-068E-F24B-AF57-B439DC26BD61}"/>
    <w:embedBold r:id="rId2" w:fontKey="{9DF26311-BE2A-9B48-948E-B03D7DE45BEE}"/>
    <w:embedItalic r:id="rId3" w:fontKey="{827E6B14-7AC0-E948-855D-21BF807E511D}"/>
  </w:font>
  <w:font w:name="Arial">
    <w:panose1 w:val="020B0604020202020204"/>
    <w:charset w:val="00"/>
    <w:family w:val="swiss"/>
    <w:pitch w:val="variable"/>
    <w:sig w:usb0="E0002AFF" w:usb1="C0007843" w:usb2="00000009" w:usb3="00000000" w:csb0="000001FF" w:csb1="00000000"/>
    <w:embedRegular r:id="rId4" w:fontKey="{ACB8E2A6-CC53-094E-A6B7-3F8E8FA34897}"/>
    <w:embedBold r:id="rId5" w:fontKey="{A69F7259-F2A2-C84F-BDEA-D5C7D0E7492E}"/>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ACFF" w:usb2="00000009" w:usb3="00000000" w:csb0="000001FF" w:csb1="00000000"/>
    <w:embedRegular r:id="rId6" w:fontKey="{49444704-F246-4A4A-A72C-7FA27D85DF8D}"/>
  </w:font>
  <w:font w:name="Cambria">
    <w:panose1 w:val="02040503050406030204"/>
    <w:charset w:val="00"/>
    <w:family w:val="roman"/>
    <w:notTrueType/>
    <w:pitch w:val="default"/>
    <w:embedRegular r:id="rId7" w:fontKey="{75BE7310-F7F5-7D40-8F37-C0E98C2BAF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6695E" w14:textId="76927C11" w:rsidR="00A71428" w:rsidRDefault="00000000">
    <w:pPr>
      <w:rPr>
        <w:sz w:val="20"/>
        <w:szCs w:val="20"/>
      </w:rPr>
    </w:pPr>
    <w:r>
      <w:fldChar w:fldCharType="begin"/>
    </w:r>
    <w:r>
      <w:instrText>PAGE</w:instrText>
    </w:r>
    <w:r>
      <w:fldChar w:fldCharType="separate"/>
    </w:r>
    <w:r w:rsidR="00A47CD3">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A6A60" w14:textId="77777777" w:rsidR="00A71428" w:rsidRDefault="00A71428">
    <w:pPr>
      <w:jc w:val="center"/>
      <w:rPr>
        <w:i/>
        <w:i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BB76F" w14:textId="77777777" w:rsidR="004B2306" w:rsidRDefault="004B2306">
      <w:pPr>
        <w:spacing w:line="240" w:lineRule="auto"/>
      </w:pPr>
      <w:r>
        <w:separator/>
      </w:r>
    </w:p>
  </w:footnote>
  <w:footnote w:type="continuationSeparator" w:id="0">
    <w:p w14:paraId="3E7C7470" w14:textId="77777777" w:rsidR="004B2306" w:rsidRDefault="004B2306">
      <w:pPr>
        <w:spacing w:line="240" w:lineRule="auto"/>
      </w:pPr>
      <w:r>
        <w:continuationSeparator/>
      </w:r>
    </w:p>
  </w:footnote>
  <w:footnote w:id="1">
    <w:p w14:paraId="033634C5" w14:textId="77777777" w:rsidR="00A71428" w:rsidRDefault="00000000">
      <w:pPr>
        <w:spacing w:line="240" w:lineRule="auto"/>
        <w:rPr>
          <w:sz w:val="20"/>
          <w:szCs w:val="20"/>
        </w:rPr>
      </w:pPr>
      <w:r>
        <w:rPr>
          <w:rStyle w:val="FootnoteReference"/>
        </w:rPr>
        <w:footnoteRef/>
      </w:r>
      <w:r>
        <w:rPr>
          <w:sz w:val="20"/>
          <w:szCs w:val="20"/>
        </w:rPr>
        <w:t xml:space="preserve"> Mandy Te "FMA warns New Zealanders about ‘pump and dump’ scam after receiving complaints with multiple victims losing significant amounts of money" </w:t>
      </w:r>
      <w:r>
        <w:rPr>
          <w:i/>
          <w:iCs/>
          <w:sz w:val="20"/>
          <w:szCs w:val="20"/>
        </w:rPr>
        <w:t>Interest.co.nz</w:t>
      </w:r>
      <w:r>
        <w:rPr>
          <w:sz w:val="20"/>
          <w:szCs w:val="20"/>
        </w:rPr>
        <w:t xml:space="preserve"> (Auckland, 6 October 2025).</w:t>
      </w:r>
    </w:p>
  </w:footnote>
  <w:footnote w:id="2">
    <w:p w14:paraId="51930BE2" w14:textId="77777777" w:rsidR="00A71428" w:rsidRDefault="00000000">
      <w:pPr>
        <w:spacing w:line="240" w:lineRule="auto"/>
        <w:rPr>
          <w:sz w:val="20"/>
          <w:szCs w:val="20"/>
        </w:rPr>
      </w:pPr>
      <w:r>
        <w:rPr>
          <w:rStyle w:val="FootnoteReference"/>
        </w:rPr>
        <w:footnoteRef/>
      </w:r>
      <w:r>
        <w:rPr>
          <w:sz w:val="20"/>
          <w:szCs w:val="20"/>
        </w:rPr>
        <w:t xml:space="preserve"> Sarah Danckert “‘Finfluencer’ follower wins nearly $500,000 in court over failed investment” </w:t>
      </w:r>
      <w:r>
        <w:rPr>
          <w:i/>
          <w:iCs/>
          <w:sz w:val="20"/>
          <w:szCs w:val="20"/>
        </w:rPr>
        <w:t>Sydney Morning Herald</w:t>
      </w:r>
      <w:r>
        <w:rPr>
          <w:sz w:val="20"/>
          <w:szCs w:val="20"/>
        </w:rPr>
        <w:t xml:space="preserve"> (15 October 2021).</w:t>
      </w:r>
    </w:p>
  </w:footnote>
  <w:footnote w:id="3">
    <w:p w14:paraId="113BBE4A" w14:textId="77777777" w:rsidR="00A71428" w:rsidRDefault="00000000">
      <w:pPr>
        <w:spacing w:line="240" w:lineRule="auto"/>
        <w:rPr>
          <w:sz w:val="20"/>
          <w:szCs w:val="20"/>
        </w:rPr>
      </w:pPr>
      <w:r>
        <w:rPr>
          <w:rStyle w:val="FootnoteReference"/>
        </w:rPr>
        <w:footnoteRef/>
      </w:r>
      <w:r>
        <w:rPr>
          <w:sz w:val="20"/>
          <w:szCs w:val="20"/>
        </w:rPr>
        <w:t xml:space="preserve"> Lisa Owen “KiwiSaver fund manager slams 'disturbing' social media hacks to falsely access funds”</w:t>
      </w:r>
      <w:r>
        <w:rPr>
          <w:i/>
          <w:iCs/>
          <w:sz w:val="20"/>
          <w:szCs w:val="20"/>
        </w:rPr>
        <w:t xml:space="preserve"> Radio New Zealand</w:t>
      </w:r>
      <w:r>
        <w:rPr>
          <w:sz w:val="20"/>
          <w:szCs w:val="20"/>
        </w:rPr>
        <w:t xml:space="preserve"> (Auckland, 12 June 2025).</w:t>
      </w:r>
    </w:p>
  </w:footnote>
  <w:footnote w:id="4">
    <w:p w14:paraId="3BFFD78D" w14:textId="77777777" w:rsidR="00A71428" w:rsidRDefault="00000000">
      <w:pPr>
        <w:spacing w:line="240" w:lineRule="auto"/>
        <w:rPr>
          <w:sz w:val="20"/>
          <w:szCs w:val="20"/>
        </w:rPr>
      </w:pPr>
      <w:r>
        <w:rPr>
          <w:rStyle w:val="FootnoteReference"/>
        </w:rPr>
        <w:footnoteRef/>
      </w:r>
      <w:r>
        <w:rPr>
          <w:sz w:val="20"/>
          <w:szCs w:val="20"/>
        </w:rPr>
        <w:t xml:space="preserve"> Financial Markets Authority </w:t>
      </w:r>
      <w:r>
        <w:rPr>
          <w:i/>
          <w:iCs/>
          <w:sz w:val="20"/>
          <w:szCs w:val="20"/>
        </w:rPr>
        <w:t>A guide to talking about money online</w:t>
      </w:r>
      <w:r>
        <w:rPr>
          <w:sz w:val="20"/>
          <w:szCs w:val="20"/>
        </w:rPr>
        <w:t xml:space="preserve"> [FMA Guide] (28 June 2021) &lt;www.fma.govt.nz&gt; </w:t>
      </w:r>
    </w:p>
  </w:footnote>
  <w:footnote w:id="5">
    <w:p w14:paraId="60FD1EAD" w14:textId="77777777" w:rsidR="00A71428" w:rsidRDefault="00000000">
      <w:pPr>
        <w:spacing w:line="240" w:lineRule="auto"/>
        <w:rPr>
          <w:sz w:val="20"/>
          <w:szCs w:val="20"/>
        </w:rPr>
      </w:pPr>
      <w:r>
        <w:rPr>
          <w:rStyle w:val="FootnoteReference"/>
        </w:rPr>
        <w:footnoteRef/>
      </w:r>
      <w:r>
        <w:rPr>
          <w:sz w:val="20"/>
          <w:szCs w:val="20"/>
        </w:rPr>
        <w:t xml:space="preserve"> Victoria Stace </w:t>
      </w:r>
      <w:r>
        <w:rPr>
          <w:i/>
          <w:iCs/>
          <w:sz w:val="20"/>
          <w:szCs w:val="20"/>
        </w:rPr>
        <w:t>Securities Law in New Zealand</w:t>
      </w:r>
      <w:r>
        <w:rPr>
          <w:sz w:val="20"/>
          <w:szCs w:val="20"/>
        </w:rPr>
        <w:t xml:space="preserve"> (1st ed, LexisNexis, Wellington, 2010) at 500.</w:t>
      </w:r>
    </w:p>
  </w:footnote>
  <w:footnote w:id="6">
    <w:p w14:paraId="698EC69C" w14:textId="77777777" w:rsidR="00A71428" w:rsidRDefault="00000000">
      <w:pPr>
        <w:spacing w:line="240" w:lineRule="auto"/>
        <w:rPr>
          <w:sz w:val="20"/>
          <w:szCs w:val="20"/>
        </w:rPr>
      </w:pPr>
      <w:r>
        <w:rPr>
          <w:rStyle w:val="FootnoteReference"/>
        </w:rPr>
        <w:footnoteRef/>
      </w:r>
      <w:r>
        <w:rPr>
          <w:sz w:val="20"/>
          <w:szCs w:val="20"/>
        </w:rPr>
        <w:t xml:space="preserve"> Dirk Gerritsen and Anouk de Regt "Influencers and Consumer Financial Decision-Making" (2025) International Journal of Consumer Studies 49(2) at 2.</w:t>
      </w:r>
    </w:p>
  </w:footnote>
  <w:footnote w:id="7">
    <w:p w14:paraId="256640DD" w14:textId="77777777" w:rsidR="00A71428" w:rsidRDefault="00000000">
      <w:pPr>
        <w:spacing w:line="240" w:lineRule="auto"/>
        <w:rPr>
          <w:sz w:val="20"/>
          <w:szCs w:val="20"/>
        </w:rPr>
      </w:pPr>
      <w:r>
        <w:rPr>
          <w:rStyle w:val="FootnoteReference"/>
        </w:rPr>
        <w:footnoteRef/>
      </w:r>
      <w:r>
        <w:rPr>
          <w:sz w:val="20"/>
          <w:szCs w:val="20"/>
        </w:rPr>
        <w:t xml:space="preserve"> Hayes and Ben-Shmuel “Under the finfluence: Financial influencers, economic meaning-making and the financialization of digital life” (2024) 53 Economy and Society 478 at 480.</w:t>
      </w:r>
    </w:p>
  </w:footnote>
  <w:footnote w:id="8">
    <w:p w14:paraId="5ED3313B" w14:textId="77777777" w:rsidR="00A71428" w:rsidRDefault="00000000">
      <w:pPr>
        <w:spacing w:line="240" w:lineRule="auto"/>
        <w:rPr>
          <w:sz w:val="20"/>
          <w:szCs w:val="20"/>
        </w:rPr>
      </w:pPr>
      <w:r>
        <w:rPr>
          <w:rStyle w:val="FootnoteReference"/>
        </w:rPr>
        <w:footnoteRef/>
      </w:r>
      <w:r>
        <w:rPr>
          <w:sz w:val="20"/>
          <w:szCs w:val="20"/>
        </w:rPr>
        <w:t xml:space="preserve"> Katie Bishop “Should you trust personal finance advice from a 'finfluencer'?” </w:t>
      </w:r>
      <w:r>
        <w:rPr>
          <w:i/>
          <w:iCs/>
          <w:sz w:val="20"/>
          <w:szCs w:val="20"/>
        </w:rPr>
        <w:t>BBC</w:t>
      </w:r>
      <w:r>
        <w:rPr>
          <w:sz w:val="20"/>
          <w:szCs w:val="20"/>
        </w:rPr>
        <w:t xml:space="preserve"> (18 September 2023); Hayes and Ben-Shmuel, above n 7, at 493.</w:t>
      </w:r>
    </w:p>
  </w:footnote>
  <w:footnote w:id="9">
    <w:p w14:paraId="67148131" w14:textId="77777777" w:rsidR="00A71428" w:rsidRDefault="00000000">
      <w:pPr>
        <w:spacing w:line="240" w:lineRule="auto"/>
        <w:rPr>
          <w:sz w:val="20"/>
          <w:szCs w:val="20"/>
        </w:rPr>
      </w:pPr>
      <w:r>
        <w:rPr>
          <w:rStyle w:val="FootnoteReference"/>
        </w:rPr>
        <w:footnoteRef/>
      </w:r>
      <w:r>
        <w:rPr>
          <w:sz w:val="20"/>
          <w:szCs w:val="20"/>
        </w:rPr>
        <w:t xml:space="preserve"> Chi-Cheng Luan and others “Effects of Finance Knowledge Influencer Qualities on Investment Willingness and the Moderation of followers' Risk Tolerance.” (2024) Journal of Consumer Behaviour 23(4) 1979 at 1991; Colmar Brunton </w:t>
      </w:r>
      <w:r>
        <w:rPr>
          <w:i/>
          <w:iCs/>
          <w:sz w:val="20"/>
          <w:szCs w:val="20"/>
        </w:rPr>
        <w:t>FA/FSP Act Review: Consumer Group Report</w:t>
      </w:r>
      <w:r>
        <w:rPr>
          <w:sz w:val="20"/>
          <w:szCs w:val="20"/>
        </w:rPr>
        <w:t xml:space="preserve">, (Ministry of Business, Innovation and Employment, April 2015), cited in Ministry of Business, Innovation and Employment [MBIE] </w:t>
      </w:r>
      <w:r>
        <w:rPr>
          <w:i/>
          <w:iCs/>
          <w:sz w:val="20"/>
          <w:szCs w:val="20"/>
        </w:rPr>
        <w:t>Final Report on Review of the operation of the Financial Advisers Act 2008 and the Financial Service Providers (Registration and Dispute Resolution) Act 2008</w:t>
      </w:r>
      <w:r>
        <w:rPr>
          <w:sz w:val="20"/>
          <w:szCs w:val="20"/>
        </w:rPr>
        <w:t xml:space="preserve"> (July 2016).</w:t>
      </w:r>
    </w:p>
  </w:footnote>
  <w:footnote w:id="10">
    <w:p w14:paraId="18AD300F" w14:textId="77777777" w:rsidR="00A71428" w:rsidRDefault="00000000">
      <w:pPr>
        <w:spacing w:line="240" w:lineRule="auto"/>
        <w:rPr>
          <w:sz w:val="20"/>
          <w:szCs w:val="20"/>
        </w:rPr>
      </w:pPr>
      <w:r>
        <w:rPr>
          <w:rStyle w:val="FootnoteReference"/>
        </w:rPr>
        <w:footnoteRef/>
      </w:r>
      <w:r>
        <w:rPr>
          <w:sz w:val="20"/>
          <w:szCs w:val="20"/>
        </w:rPr>
        <w:t xml:space="preserve"> Bishop, above n 8.</w:t>
      </w:r>
    </w:p>
  </w:footnote>
  <w:footnote w:id="11">
    <w:p w14:paraId="47198192" w14:textId="77777777" w:rsidR="00A71428" w:rsidRDefault="00000000">
      <w:pPr>
        <w:spacing w:line="240" w:lineRule="auto"/>
        <w:rPr>
          <w:sz w:val="20"/>
          <w:szCs w:val="20"/>
        </w:rPr>
      </w:pPr>
      <w:r>
        <w:rPr>
          <w:rStyle w:val="FootnoteReference"/>
        </w:rPr>
        <w:footnoteRef/>
      </w:r>
      <w:r>
        <w:rPr>
          <w:sz w:val="20"/>
          <w:szCs w:val="20"/>
        </w:rPr>
        <w:t xml:space="preserve"> Hayes and Ben-Shmuel, above n 7, at 486.</w:t>
      </w:r>
    </w:p>
  </w:footnote>
  <w:footnote w:id="12">
    <w:p w14:paraId="388C9AE0" w14:textId="77777777" w:rsidR="00A71428" w:rsidRDefault="00000000">
      <w:pPr>
        <w:spacing w:line="240" w:lineRule="auto"/>
        <w:rPr>
          <w:sz w:val="20"/>
          <w:szCs w:val="20"/>
        </w:rPr>
      </w:pPr>
      <w:r>
        <w:rPr>
          <w:rStyle w:val="FootnoteReference"/>
        </w:rPr>
        <w:footnoteRef/>
      </w:r>
      <w:r>
        <w:rPr>
          <w:sz w:val="20"/>
          <w:szCs w:val="20"/>
        </w:rPr>
        <w:t xml:space="preserve"> @savingwhiz Gina Zakaria on Instagram; cited in Hayes and Ben-Shmuel, above n 7, at 487.</w:t>
      </w:r>
    </w:p>
  </w:footnote>
  <w:footnote w:id="13">
    <w:p w14:paraId="051E5F3E" w14:textId="77777777" w:rsidR="00A71428" w:rsidRDefault="00000000">
      <w:pPr>
        <w:spacing w:line="240" w:lineRule="auto"/>
        <w:rPr>
          <w:sz w:val="20"/>
          <w:szCs w:val="20"/>
        </w:rPr>
      </w:pPr>
      <w:r>
        <w:rPr>
          <w:rStyle w:val="FootnoteReference"/>
        </w:rPr>
        <w:footnoteRef/>
      </w:r>
      <w:r>
        <w:rPr>
          <w:sz w:val="20"/>
          <w:szCs w:val="20"/>
        </w:rPr>
        <w:t xml:space="preserve"> Anthony Song and Justine Rogers “Lawfluencers: Legal Professionalism on TikTok and YouTube” (2023) 37 Geo J Legal Ethics 23(7) 507 at 511; Hayes and Ben-Shmuel, above n 7, at 493.</w:t>
      </w:r>
    </w:p>
  </w:footnote>
  <w:footnote w:id="14">
    <w:p w14:paraId="79387528" w14:textId="77777777" w:rsidR="00A71428" w:rsidRDefault="00000000">
      <w:pPr>
        <w:spacing w:line="240" w:lineRule="auto"/>
        <w:rPr>
          <w:sz w:val="20"/>
          <w:szCs w:val="20"/>
        </w:rPr>
      </w:pPr>
      <w:r>
        <w:rPr>
          <w:rStyle w:val="FootnoteReference"/>
        </w:rPr>
        <w:footnoteRef/>
      </w:r>
      <w:r>
        <w:rPr>
          <w:sz w:val="20"/>
          <w:szCs w:val="20"/>
        </w:rPr>
        <w:t xml:space="preserve"> Jonathan Smith and others "Digital socialization: young people's changing value orientations towards internet use between adolescence and early adulthood." (2015) Information, Communication &amp; Society 18(9) 1022 at 1038.</w:t>
      </w:r>
    </w:p>
  </w:footnote>
  <w:footnote w:id="15">
    <w:p w14:paraId="05F3831C" w14:textId="77777777" w:rsidR="00A71428" w:rsidRDefault="00000000">
      <w:pPr>
        <w:spacing w:line="240" w:lineRule="auto"/>
        <w:rPr>
          <w:sz w:val="20"/>
          <w:szCs w:val="20"/>
        </w:rPr>
      </w:pPr>
      <w:r>
        <w:rPr>
          <w:rStyle w:val="FootnoteReference"/>
        </w:rPr>
        <w:footnoteRef/>
      </w:r>
      <w:r>
        <w:rPr>
          <w:sz w:val="20"/>
          <w:szCs w:val="20"/>
        </w:rPr>
        <w:t xml:space="preserve"> Cameron Smith "Revealed: How many young Kiwis trust social media for financial advice" </w:t>
      </w:r>
      <w:r>
        <w:rPr>
          <w:i/>
          <w:iCs/>
          <w:sz w:val="20"/>
          <w:szCs w:val="20"/>
        </w:rPr>
        <w:t>New Zealand Herald</w:t>
      </w:r>
      <w:r>
        <w:rPr>
          <w:sz w:val="20"/>
          <w:szCs w:val="20"/>
        </w:rPr>
        <w:t xml:space="preserve"> (Auckland, 26 July 2022).</w:t>
      </w:r>
    </w:p>
  </w:footnote>
  <w:footnote w:id="16">
    <w:p w14:paraId="69F97B26" w14:textId="77777777" w:rsidR="00A71428" w:rsidRDefault="00000000">
      <w:pPr>
        <w:spacing w:line="240" w:lineRule="auto"/>
        <w:rPr>
          <w:sz w:val="20"/>
          <w:szCs w:val="20"/>
        </w:rPr>
      </w:pPr>
      <w:r>
        <w:rPr>
          <w:rStyle w:val="FootnoteReference"/>
        </w:rPr>
        <w:footnoteRef/>
      </w:r>
      <w:r>
        <w:rPr>
          <w:sz w:val="20"/>
          <w:szCs w:val="20"/>
        </w:rPr>
        <w:t xml:space="preserve"> Tamra Manfredo "How to make $1 million in 30 seconds or less: the need for regulations on finfluencers" (2023) La L Rev 84 791.</w:t>
      </w:r>
    </w:p>
  </w:footnote>
  <w:footnote w:id="17">
    <w:p w14:paraId="22F64091" w14:textId="77777777" w:rsidR="00A71428" w:rsidRDefault="00000000">
      <w:pPr>
        <w:spacing w:line="240" w:lineRule="auto"/>
        <w:rPr>
          <w:sz w:val="20"/>
          <w:szCs w:val="20"/>
        </w:rPr>
      </w:pPr>
      <w:r>
        <w:rPr>
          <w:rStyle w:val="FootnoteReference"/>
        </w:rPr>
        <w:footnoteRef/>
      </w:r>
      <w:r>
        <w:rPr>
          <w:sz w:val="20"/>
          <w:szCs w:val="20"/>
        </w:rPr>
        <w:t xml:space="preserve"> Danelle Clayton “Simran Kaur: optometry graduate focuses on a different vision” </w:t>
      </w:r>
      <w:r>
        <w:rPr>
          <w:i/>
          <w:iCs/>
          <w:sz w:val="20"/>
          <w:szCs w:val="20"/>
        </w:rPr>
        <w:t>The University of Auckland</w:t>
      </w:r>
      <w:r>
        <w:rPr>
          <w:sz w:val="20"/>
          <w:szCs w:val="20"/>
        </w:rPr>
        <w:t xml:space="preserve"> (1 November 2022); Te Kahukura Boynton “My plan to become a Māori Millionaire in my 20s” </w:t>
      </w:r>
      <w:r>
        <w:rPr>
          <w:i/>
          <w:iCs/>
          <w:sz w:val="20"/>
          <w:szCs w:val="20"/>
        </w:rPr>
        <w:t xml:space="preserve">Sunday Star Times </w:t>
      </w:r>
      <w:r>
        <w:rPr>
          <w:sz w:val="20"/>
          <w:szCs w:val="20"/>
        </w:rPr>
        <w:t>(online ed, Auckland, 1 January 2023).</w:t>
      </w:r>
    </w:p>
  </w:footnote>
  <w:footnote w:id="18">
    <w:p w14:paraId="5C17B365" w14:textId="77777777" w:rsidR="00A71428" w:rsidRDefault="00000000">
      <w:pPr>
        <w:spacing w:line="240" w:lineRule="auto"/>
        <w:rPr>
          <w:sz w:val="20"/>
          <w:szCs w:val="20"/>
        </w:rPr>
      </w:pPr>
      <w:r>
        <w:rPr>
          <w:rStyle w:val="FootnoteReference"/>
        </w:rPr>
        <w:footnoteRef/>
      </w:r>
      <w:r>
        <w:rPr>
          <w:sz w:val="20"/>
          <w:szCs w:val="20"/>
        </w:rPr>
        <w:t xml:space="preserve"> Sarah Sharples “Sydney marketing manager Queenie Tan shares how she built $350,000 net worth” </w:t>
      </w:r>
      <w:r>
        <w:rPr>
          <w:i/>
          <w:iCs/>
          <w:sz w:val="20"/>
          <w:szCs w:val="20"/>
        </w:rPr>
        <w:t>News.com.au</w:t>
      </w:r>
      <w:r>
        <w:rPr>
          <w:sz w:val="20"/>
          <w:szCs w:val="20"/>
        </w:rPr>
        <w:t xml:space="preserve"> (Sydney, 30 April 2021); Digital Staff “Natasha is 28 years old with $310,000 in shares and a $1 million net worth — these are the rules she swears by” </w:t>
      </w:r>
      <w:r>
        <w:rPr>
          <w:i/>
          <w:iCs/>
          <w:sz w:val="20"/>
          <w:szCs w:val="20"/>
        </w:rPr>
        <w:t>7News</w:t>
      </w:r>
      <w:r>
        <w:rPr>
          <w:sz w:val="20"/>
          <w:szCs w:val="20"/>
        </w:rPr>
        <w:t xml:space="preserve"> (Sydney, 5 November 2025).</w:t>
      </w:r>
    </w:p>
  </w:footnote>
  <w:footnote w:id="19">
    <w:p w14:paraId="144A16CA" w14:textId="77777777" w:rsidR="00A71428" w:rsidRDefault="00000000">
      <w:pPr>
        <w:spacing w:line="240" w:lineRule="auto"/>
        <w:rPr>
          <w:sz w:val="20"/>
          <w:szCs w:val="20"/>
        </w:rPr>
      </w:pPr>
      <w:r>
        <w:rPr>
          <w:rStyle w:val="FootnoteReference"/>
        </w:rPr>
        <w:footnoteRef/>
      </w:r>
      <w:r>
        <w:rPr>
          <w:sz w:val="20"/>
          <w:szCs w:val="20"/>
        </w:rPr>
        <w:t xml:space="preserve"> Rhiana Whitson “Finfluencers are on the rise, so are they friend or foe? It can be murky territory” </w:t>
      </w:r>
      <w:r>
        <w:rPr>
          <w:i/>
          <w:iCs/>
          <w:sz w:val="20"/>
          <w:szCs w:val="20"/>
        </w:rPr>
        <w:t>ABC News</w:t>
      </w:r>
      <w:r>
        <w:rPr>
          <w:sz w:val="20"/>
          <w:szCs w:val="20"/>
        </w:rPr>
        <w:t xml:space="preserve"> (Sydney, 14 July 2021).</w:t>
      </w:r>
    </w:p>
  </w:footnote>
  <w:footnote w:id="20">
    <w:p w14:paraId="795908D7" w14:textId="77777777" w:rsidR="00A71428" w:rsidRDefault="00000000">
      <w:pPr>
        <w:spacing w:line="240" w:lineRule="auto"/>
        <w:rPr>
          <w:sz w:val="20"/>
          <w:szCs w:val="20"/>
        </w:rPr>
      </w:pPr>
      <w:r>
        <w:rPr>
          <w:rStyle w:val="FootnoteReference"/>
        </w:rPr>
        <w:footnoteRef/>
      </w:r>
      <w:r>
        <w:rPr>
          <w:sz w:val="20"/>
          <w:szCs w:val="20"/>
        </w:rPr>
        <w:t xml:space="preserve"> </w:t>
      </w:r>
      <w:r>
        <w:rPr>
          <w:i/>
          <w:iCs/>
          <w:sz w:val="20"/>
          <w:szCs w:val="20"/>
        </w:rPr>
        <w:t xml:space="preserve">ASIC v Scholz </w:t>
      </w:r>
      <w:r>
        <w:rPr>
          <w:sz w:val="20"/>
          <w:szCs w:val="20"/>
        </w:rPr>
        <w:t>[2022] FCA 1542 at [124]</w:t>
      </w:r>
      <w:r>
        <w:t>.</w:t>
      </w:r>
    </w:p>
  </w:footnote>
  <w:footnote w:id="21">
    <w:p w14:paraId="67B5088E" w14:textId="77777777" w:rsidR="00A71428" w:rsidRDefault="00000000">
      <w:pPr>
        <w:spacing w:line="240" w:lineRule="auto"/>
        <w:rPr>
          <w:sz w:val="20"/>
          <w:szCs w:val="20"/>
        </w:rPr>
      </w:pPr>
      <w:r>
        <w:rPr>
          <w:rStyle w:val="FootnoteReference"/>
        </w:rPr>
        <w:footnoteRef/>
      </w:r>
      <w:r>
        <w:rPr>
          <w:sz w:val="20"/>
          <w:szCs w:val="20"/>
        </w:rPr>
        <w:t xml:space="preserve"> Shu-Hsien Liao and others “Investigating Online Social Media Users’ Behaviors for Social Commerce Recommendations” (2021) 66 Technology in Society at 1.</w:t>
      </w:r>
    </w:p>
  </w:footnote>
  <w:footnote w:id="22">
    <w:p w14:paraId="2716115F" w14:textId="77777777" w:rsidR="00A71428" w:rsidRDefault="00000000">
      <w:pPr>
        <w:spacing w:line="240" w:lineRule="auto"/>
        <w:rPr>
          <w:sz w:val="20"/>
          <w:szCs w:val="20"/>
        </w:rPr>
      </w:pPr>
      <w:r>
        <w:rPr>
          <w:rStyle w:val="FootnoteReference"/>
        </w:rPr>
        <w:footnoteRef/>
      </w:r>
      <w:r>
        <w:rPr>
          <w:sz w:val="20"/>
          <w:szCs w:val="20"/>
        </w:rPr>
        <w:t xml:space="preserve"> For an example of such courses by finfluencers which lead to serious financial harm, see Isabella Kwai “Financial Advice on Social Media Is Growing. And Risky.” </w:t>
      </w:r>
      <w:r>
        <w:rPr>
          <w:i/>
          <w:iCs/>
          <w:sz w:val="20"/>
          <w:szCs w:val="20"/>
        </w:rPr>
        <w:t>New York Times</w:t>
      </w:r>
      <w:r>
        <w:rPr>
          <w:sz w:val="20"/>
          <w:szCs w:val="20"/>
        </w:rPr>
        <w:t xml:space="preserve"> (25 January 2025).</w:t>
      </w:r>
    </w:p>
  </w:footnote>
  <w:footnote w:id="23">
    <w:p w14:paraId="14A51E90" w14:textId="77777777" w:rsidR="00A71428" w:rsidRDefault="00000000">
      <w:pPr>
        <w:spacing w:line="240" w:lineRule="auto"/>
        <w:rPr>
          <w:sz w:val="20"/>
          <w:szCs w:val="20"/>
        </w:rPr>
      </w:pPr>
      <w:r>
        <w:rPr>
          <w:rStyle w:val="FootnoteReference"/>
        </w:rPr>
        <w:footnoteRef/>
      </w:r>
      <w:r>
        <w:rPr>
          <w:i/>
          <w:iCs/>
          <w:sz w:val="20"/>
          <w:szCs w:val="20"/>
        </w:rPr>
        <w:t xml:space="preserve"> Re Floreani</w:t>
      </w:r>
      <w:r>
        <w:rPr>
          <w:sz w:val="20"/>
          <w:szCs w:val="20"/>
        </w:rPr>
        <w:t xml:space="preserve"> 2025 ABASC 129 at [69].</w:t>
      </w:r>
    </w:p>
  </w:footnote>
  <w:footnote w:id="24">
    <w:p w14:paraId="1D9244DE" w14:textId="77777777" w:rsidR="00A71428" w:rsidRDefault="00000000">
      <w:pPr>
        <w:spacing w:line="240" w:lineRule="auto"/>
        <w:jc w:val="left"/>
        <w:rPr>
          <w:sz w:val="20"/>
          <w:szCs w:val="20"/>
        </w:rPr>
      </w:pPr>
      <w:r>
        <w:rPr>
          <w:rStyle w:val="FootnoteReference"/>
        </w:rPr>
        <w:footnoteRef/>
      </w:r>
      <w:r>
        <w:rPr>
          <w:sz w:val="20"/>
          <w:szCs w:val="20"/>
        </w:rPr>
        <w:t xml:space="preserve"> Tom Akana and Larry Santucci </w:t>
      </w:r>
      <w:r>
        <w:rPr>
          <w:i/>
          <w:iCs/>
          <w:sz w:val="20"/>
          <w:szCs w:val="20"/>
          <w:highlight w:val="white"/>
        </w:rPr>
        <w:t>Trust and Credibility: Comparing Sources of Financial Advice</w:t>
      </w:r>
      <w:r>
        <w:rPr>
          <w:sz w:val="20"/>
          <w:szCs w:val="20"/>
          <w:highlight w:val="white"/>
        </w:rPr>
        <w:t xml:space="preserve"> (Federal Reserve Bank of Philadelphia, March 2025) at 7.</w:t>
      </w:r>
    </w:p>
  </w:footnote>
  <w:footnote w:id="25">
    <w:p w14:paraId="0F68C83A" w14:textId="77777777" w:rsidR="00A71428" w:rsidRDefault="00000000">
      <w:pPr>
        <w:spacing w:line="240" w:lineRule="auto"/>
        <w:rPr>
          <w:sz w:val="20"/>
          <w:szCs w:val="20"/>
        </w:rPr>
      </w:pPr>
      <w:r>
        <w:rPr>
          <w:rStyle w:val="FootnoteReference"/>
        </w:rPr>
        <w:footnoteRef/>
      </w:r>
      <w:r>
        <w:rPr>
          <w:sz w:val="20"/>
          <w:szCs w:val="20"/>
        </w:rPr>
        <w:t xml:space="preserve"> </w:t>
      </w:r>
      <w:r>
        <w:rPr>
          <w:i/>
          <w:iCs/>
          <w:sz w:val="20"/>
          <w:szCs w:val="20"/>
        </w:rPr>
        <w:t>Re Floreani</w:t>
      </w:r>
      <w:r>
        <w:rPr>
          <w:sz w:val="20"/>
          <w:szCs w:val="20"/>
        </w:rPr>
        <w:t>, above n 23, at [42].</w:t>
      </w:r>
    </w:p>
  </w:footnote>
  <w:footnote w:id="26">
    <w:p w14:paraId="41D608CD" w14:textId="77777777" w:rsidR="00A71428" w:rsidRDefault="00000000">
      <w:pPr>
        <w:spacing w:line="240" w:lineRule="auto"/>
        <w:rPr>
          <w:sz w:val="20"/>
          <w:szCs w:val="20"/>
        </w:rPr>
      </w:pPr>
      <w:r>
        <w:rPr>
          <w:rStyle w:val="FootnoteReference"/>
        </w:rPr>
        <w:footnoteRef/>
      </w:r>
      <w:r>
        <w:rPr>
          <w:sz w:val="20"/>
          <w:szCs w:val="20"/>
        </w:rPr>
        <w:t xml:space="preserve"> Ellie House “FinTok: how TikTok is helping young people use cash wisely” </w:t>
      </w:r>
      <w:r>
        <w:rPr>
          <w:i/>
          <w:iCs/>
          <w:sz w:val="20"/>
          <w:szCs w:val="20"/>
        </w:rPr>
        <w:t>The Guardian</w:t>
      </w:r>
      <w:r>
        <w:rPr>
          <w:sz w:val="20"/>
          <w:szCs w:val="20"/>
        </w:rPr>
        <w:t xml:space="preserve"> (London, 10 July 2021).</w:t>
      </w:r>
    </w:p>
  </w:footnote>
  <w:footnote w:id="27">
    <w:p w14:paraId="4B1C6EFF" w14:textId="77777777" w:rsidR="00A71428" w:rsidRDefault="00000000">
      <w:pPr>
        <w:spacing w:line="240" w:lineRule="auto"/>
        <w:rPr>
          <w:sz w:val="20"/>
          <w:szCs w:val="20"/>
        </w:rPr>
      </w:pPr>
      <w:r>
        <w:rPr>
          <w:rStyle w:val="FootnoteReference"/>
        </w:rPr>
        <w:footnoteRef/>
      </w:r>
      <w:r>
        <w:rPr>
          <w:sz w:val="20"/>
          <w:szCs w:val="20"/>
        </w:rPr>
        <w:t xml:space="preserve"> “Sagarika Mishra says you can’t beat the bank by paying $1 a day extra on your mortgage. Here’s how compound interest really works” </w:t>
      </w:r>
      <w:r>
        <w:rPr>
          <w:i/>
          <w:iCs/>
          <w:sz w:val="20"/>
          <w:szCs w:val="20"/>
        </w:rPr>
        <w:t xml:space="preserve">Interest.co.nz </w:t>
      </w:r>
      <w:r>
        <w:rPr>
          <w:sz w:val="20"/>
          <w:szCs w:val="20"/>
        </w:rPr>
        <w:t xml:space="preserve">(Auckland, 22 April 2023). </w:t>
      </w:r>
    </w:p>
  </w:footnote>
  <w:footnote w:id="28">
    <w:p w14:paraId="1CDB1444" w14:textId="77777777" w:rsidR="00A71428" w:rsidRDefault="00000000">
      <w:pPr>
        <w:spacing w:line="240" w:lineRule="auto"/>
        <w:rPr>
          <w:sz w:val="20"/>
          <w:szCs w:val="20"/>
        </w:rPr>
      </w:pPr>
      <w:r>
        <w:rPr>
          <w:rStyle w:val="FootnoteReference"/>
        </w:rPr>
        <w:footnoteRef/>
      </w:r>
      <w:r>
        <w:rPr>
          <w:sz w:val="20"/>
          <w:szCs w:val="20"/>
        </w:rPr>
        <w:t xml:space="preserve"> David Adam "Does Fact-Checking Work? Here’s What the Science Says" (15 January 2025) Scientific American &lt;www.scientificamerican.com&gt;</w:t>
      </w:r>
    </w:p>
  </w:footnote>
  <w:footnote w:id="29">
    <w:p w14:paraId="1BA53033" w14:textId="77777777" w:rsidR="00A71428" w:rsidRDefault="00000000">
      <w:pPr>
        <w:spacing w:line="240" w:lineRule="auto"/>
        <w:rPr>
          <w:sz w:val="20"/>
          <w:szCs w:val="20"/>
        </w:rPr>
      </w:pPr>
      <w:r>
        <w:rPr>
          <w:rStyle w:val="FootnoteReference"/>
        </w:rPr>
        <w:footnoteRef/>
      </w:r>
      <w:r>
        <w:rPr>
          <w:sz w:val="20"/>
          <w:szCs w:val="20"/>
        </w:rPr>
        <w:t xml:space="preserve"> “Content violations and bans” TikTok &lt;www.tiktok.com&gt; and “Community Guidelines” (13 September 2025) TikTok &lt;www.tiktok.com&gt; </w:t>
      </w:r>
    </w:p>
  </w:footnote>
  <w:footnote w:id="30">
    <w:p w14:paraId="2B36D08C" w14:textId="77777777" w:rsidR="00A71428" w:rsidRDefault="00000000">
      <w:pPr>
        <w:spacing w:line="240" w:lineRule="auto"/>
        <w:rPr>
          <w:sz w:val="20"/>
          <w:szCs w:val="20"/>
        </w:rPr>
      </w:pPr>
      <w:r>
        <w:rPr>
          <w:rStyle w:val="FootnoteReference"/>
        </w:rPr>
        <w:footnoteRef/>
      </w:r>
      <w:r>
        <w:rPr>
          <w:sz w:val="20"/>
          <w:szCs w:val="20"/>
        </w:rPr>
        <w:t xml:space="preserve"> Social media platforms are considered unaccountable to New Zealand regulators for causing consumer harm through scam ads. Until New Zealand’s government puts pressure onto these platforms to take action against scam ads, cooperation to reduce harmful finfluencer activity and other online consumer harms is unlikely. For more, see Duncan Greive “Banks are grappling with a scam ‘crisis’ while Facebook profits from it” </w:t>
      </w:r>
      <w:r>
        <w:rPr>
          <w:i/>
          <w:iCs/>
          <w:sz w:val="20"/>
          <w:szCs w:val="20"/>
        </w:rPr>
        <w:t xml:space="preserve">The Spinoff </w:t>
      </w:r>
      <w:r>
        <w:rPr>
          <w:sz w:val="20"/>
          <w:szCs w:val="20"/>
        </w:rPr>
        <w:t>(8 January 2025).</w:t>
      </w:r>
    </w:p>
  </w:footnote>
  <w:footnote w:id="31">
    <w:p w14:paraId="70EB514A" w14:textId="77777777" w:rsidR="00A71428" w:rsidRDefault="00000000">
      <w:pPr>
        <w:spacing w:line="240" w:lineRule="auto"/>
        <w:rPr>
          <w:sz w:val="20"/>
          <w:szCs w:val="20"/>
        </w:rPr>
      </w:pPr>
      <w:r>
        <w:rPr>
          <w:rStyle w:val="FootnoteReference"/>
        </w:rPr>
        <w:footnoteRef/>
      </w:r>
      <w:r>
        <w:rPr>
          <w:sz w:val="20"/>
          <w:szCs w:val="20"/>
        </w:rPr>
        <w:t xml:space="preserve"> The Financial Conduct Authority, UK’s regulator, have stated that finfluencers often "have little knowledge of what they're promoting", from Bishop, above n 7.</w:t>
      </w:r>
    </w:p>
  </w:footnote>
  <w:footnote w:id="32">
    <w:p w14:paraId="0E9A7A33" w14:textId="77777777" w:rsidR="00A71428" w:rsidRDefault="00000000">
      <w:pPr>
        <w:spacing w:line="240" w:lineRule="auto"/>
        <w:rPr>
          <w:sz w:val="20"/>
          <w:szCs w:val="20"/>
        </w:rPr>
      </w:pPr>
      <w:r>
        <w:rPr>
          <w:rStyle w:val="FootnoteReference"/>
        </w:rPr>
        <w:footnoteRef/>
      </w:r>
      <w:r>
        <w:rPr>
          <w:sz w:val="20"/>
          <w:szCs w:val="20"/>
        </w:rPr>
        <w:t xml:space="preserve"> Ang Hwee Min “'Not financial advice': How new content creation guidelines could shake up Singapore's finfluencing landscape” </w:t>
      </w:r>
      <w:r>
        <w:rPr>
          <w:i/>
          <w:iCs/>
          <w:sz w:val="20"/>
          <w:szCs w:val="20"/>
        </w:rPr>
        <w:t>Channel News Asia</w:t>
      </w:r>
      <w:r>
        <w:rPr>
          <w:sz w:val="20"/>
          <w:szCs w:val="20"/>
        </w:rPr>
        <w:t xml:space="preserve"> (Singapore, 9 October 2025). </w:t>
      </w:r>
    </w:p>
  </w:footnote>
  <w:footnote w:id="33">
    <w:p w14:paraId="574EA2CF" w14:textId="77777777" w:rsidR="00A71428" w:rsidRDefault="00000000">
      <w:pPr>
        <w:spacing w:line="240" w:lineRule="auto"/>
        <w:rPr>
          <w:sz w:val="20"/>
          <w:szCs w:val="20"/>
        </w:rPr>
      </w:pPr>
      <w:r>
        <w:rPr>
          <w:rStyle w:val="FootnoteReference"/>
        </w:rPr>
        <w:footnoteRef/>
      </w:r>
      <w:r>
        <w:rPr>
          <w:sz w:val="20"/>
          <w:szCs w:val="20"/>
        </w:rPr>
        <w:t xml:space="preserve"> Will Mace "TikTok clock ticking for investment advice" </w:t>
      </w:r>
      <w:r>
        <w:rPr>
          <w:i/>
          <w:iCs/>
          <w:sz w:val="20"/>
          <w:szCs w:val="20"/>
        </w:rPr>
        <w:t>National Business Review</w:t>
      </w:r>
      <w:r>
        <w:rPr>
          <w:sz w:val="20"/>
          <w:szCs w:val="20"/>
        </w:rPr>
        <w:t xml:space="preserve"> (Auckland, 28 March 2022).</w:t>
      </w:r>
    </w:p>
  </w:footnote>
  <w:footnote w:id="34">
    <w:p w14:paraId="7EC8C672" w14:textId="77777777" w:rsidR="00A71428" w:rsidRDefault="00000000">
      <w:pPr>
        <w:spacing w:line="240" w:lineRule="auto"/>
        <w:rPr>
          <w:sz w:val="20"/>
          <w:szCs w:val="20"/>
        </w:rPr>
      </w:pPr>
      <w:r>
        <w:rPr>
          <w:rStyle w:val="FootnoteReference"/>
        </w:rPr>
        <w:footnoteRef/>
      </w:r>
      <w:r>
        <w:rPr>
          <w:sz w:val="20"/>
          <w:szCs w:val="20"/>
        </w:rPr>
        <w:t xml:space="preserve"> Ontario Securities Commission “Social Media and Retail Investing: The Rise of Finfluencers” (research report, 22 April 2025).</w:t>
      </w:r>
    </w:p>
  </w:footnote>
  <w:footnote w:id="35">
    <w:p w14:paraId="77720F27" w14:textId="77777777" w:rsidR="00A71428" w:rsidRDefault="00000000">
      <w:pPr>
        <w:spacing w:line="240" w:lineRule="auto"/>
        <w:rPr>
          <w:sz w:val="20"/>
          <w:szCs w:val="20"/>
        </w:rPr>
      </w:pPr>
      <w:r>
        <w:rPr>
          <w:rStyle w:val="FootnoteReference"/>
        </w:rPr>
        <w:footnoteRef/>
      </w:r>
      <w:r>
        <w:rPr>
          <w:sz w:val="20"/>
          <w:szCs w:val="20"/>
        </w:rPr>
        <w:t xml:space="preserve"> Chantal Hoeft “#AD: Influencer Marketing and the Fair Trading Act 1986 - An Outline of How New Zealand's Consumer Protection Law Should Respond to the Harm Resulting from Non-Disclosure of Paid Advertising on Instagram” (2022) 28 AULR 197 at 200.</w:t>
      </w:r>
    </w:p>
  </w:footnote>
  <w:footnote w:id="36">
    <w:p w14:paraId="6DBC423A" w14:textId="77777777" w:rsidR="00A71428" w:rsidRDefault="00000000">
      <w:pPr>
        <w:spacing w:line="240" w:lineRule="auto"/>
        <w:rPr>
          <w:sz w:val="20"/>
          <w:szCs w:val="20"/>
        </w:rPr>
      </w:pPr>
      <w:r>
        <w:rPr>
          <w:rStyle w:val="FootnoteReference"/>
        </w:rPr>
        <w:footnoteRef/>
      </w:r>
      <w:r>
        <w:rPr>
          <w:sz w:val="20"/>
          <w:szCs w:val="20"/>
        </w:rPr>
        <w:t xml:space="preserve"> Fine Leung and others “Online Influencer Marketing” (2022) Journal of the Academy of Marketing Science 50(2) 226 at 228. </w:t>
      </w:r>
    </w:p>
  </w:footnote>
  <w:footnote w:id="37">
    <w:p w14:paraId="6A459D09" w14:textId="77777777" w:rsidR="00A71428" w:rsidRDefault="00000000">
      <w:pPr>
        <w:spacing w:line="240" w:lineRule="auto"/>
        <w:rPr>
          <w:sz w:val="20"/>
          <w:szCs w:val="20"/>
        </w:rPr>
      </w:pPr>
      <w:r>
        <w:rPr>
          <w:rStyle w:val="FootnoteReference"/>
        </w:rPr>
        <w:footnoteRef/>
      </w:r>
      <w:r>
        <w:rPr>
          <w:sz w:val="20"/>
          <w:szCs w:val="20"/>
        </w:rPr>
        <w:t xml:space="preserve"> Jodi Gardner “Protecting Individual Investors: A Comparative Approach” (2025) 99(3) ALJ 194 at 194.</w:t>
      </w:r>
    </w:p>
  </w:footnote>
  <w:footnote w:id="38">
    <w:p w14:paraId="0BA646C0" w14:textId="77777777" w:rsidR="00A71428" w:rsidRDefault="00000000">
      <w:pPr>
        <w:spacing w:line="240" w:lineRule="auto"/>
        <w:rPr>
          <w:sz w:val="20"/>
          <w:szCs w:val="20"/>
        </w:rPr>
      </w:pPr>
      <w:r>
        <w:rPr>
          <w:rStyle w:val="FootnoteReference"/>
        </w:rPr>
        <w:footnoteRef/>
      </w:r>
      <w:r>
        <w:rPr>
          <w:sz w:val="20"/>
          <w:szCs w:val="20"/>
        </w:rPr>
        <w:t xml:space="preserve"> Randy Martin </w:t>
      </w:r>
      <w:r>
        <w:rPr>
          <w:i/>
          <w:iCs/>
          <w:sz w:val="20"/>
          <w:szCs w:val="20"/>
        </w:rPr>
        <w:t>Financialisation of daily life</w:t>
      </w:r>
      <w:r>
        <w:rPr>
          <w:sz w:val="20"/>
          <w:szCs w:val="20"/>
        </w:rPr>
        <w:t xml:space="preserve"> (Temple University Press, Philadelphia, 2002).</w:t>
      </w:r>
    </w:p>
  </w:footnote>
  <w:footnote w:id="39">
    <w:p w14:paraId="04F4FD7C" w14:textId="77777777" w:rsidR="00A71428" w:rsidRDefault="00000000">
      <w:pPr>
        <w:spacing w:line="240" w:lineRule="auto"/>
        <w:rPr>
          <w:sz w:val="20"/>
          <w:szCs w:val="20"/>
        </w:rPr>
      </w:pPr>
      <w:r>
        <w:rPr>
          <w:rStyle w:val="FootnoteReference"/>
        </w:rPr>
        <w:footnoteRef/>
      </w:r>
      <w:r>
        <w:rPr>
          <w:sz w:val="20"/>
          <w:szCs w:val="20"/>
        </w:rPr>
        <w:t xml:space="preserve"> Ministry of Business, Innovation and Employment </w:t>
      </w:r>
      <w:r>
        <w:rPr>
          <w:i/>
          <w:iCs/>
          <w:sz w:val="20"/>
          <w:szCs w:val="20"/>
        </w:rPr>
        <w:t>Regulatory Impact Statement: Review of the Financial Advisers Act 2008</w:t>
      </w:r>
      <w:r>
        <w:rPr>
          <w:sz w:val="20"/>
          <w:szCs w:val="20"/>
        </w:rPr>
        <w:t xml:space="preserve"> (June 2016); and Financial Markets Authority </w:t>
      </w:r>
      <w:r>
        <w:rPr>
          <w:i/>
          <w:iCs/>
          <w:sz w:val="20"/>
          <w:szCs w:val="20"/>
        </w:rPr>
        <w:t>AFA Information Returns 2016</w:t>
      </w:r>
      <w:r>
        <w:rPr>
          <w:sz w:val="20"/>
          <w:szCs w:val="20"/>
        </w:rPr>
        <w:t xml:space="preserve"> (March 2017).</w:t>
      </w:r>
    </w:p>
  </w:footnote>
  <w:footnote w:id="40">
    <w:p w14:paraId="45AD2755" w14:textId="77777777" w:rsidR="00A71428" w:rsidRDefault="00000000">
      <w:pPr>
        <w:spacing w:line="240" w:lineRule="auto"/>
        <w:rPr>
          <w:sz w:val="20"/>
          <w:szCs w:val="20"/>
        </w:rPr>
      </w:pPr>
      <w:r>
        <w:rPr>
          <w:rStyle w:val="FootnoteReference"/>
        </w:rPr>
        <w:footnoteRef/>
      </w:r>
      <w:r>
        <w:rPr>
          <w:sz w:val="20"/>
          <w:szCs w:val="20"/>
        </w:rPr>
        <w:t xml:space="preserve"> Financial Services Council </w:t>
      </w:r>
      <w:r>
        <w:rPr>
          <w:i/>
          <w:iCs/>
          <w:sz w:val="20"/>
          <w:szCs w:val="20"/>
        </w:rPr>
        <w:t>Money and You: Breaking through the Advice Barrier</w:t>
      </w:r>
      <w:r>
        <w:rPr>
          <w:sz w:val="20"/>
          <w:szCs w:val="20"/>
        </w:rPr>
        <w:t xml:space="preserve"> (March 2020).</w:t>
      </w:r>
    </w:p>
  </w:footnote>
  <w:footnote w:id="41">
    <w:p w14:paraId="1ECAC4F1" w14:textId="77777777" w:rsidR="00A71428" w:rsidRDefault="00000000">
      <w:pPr>
        <w:spacing w:line="240" w:lineRule="auto"/>
        <w:rPr>
          <w:sz w:val="20"/>
          <w:szCs w:val="20"/>
        </w:rPr>
      </w:pPr>
      <w:r>
        <w:rPr>
          <w:rStyle w:val="FootnoteReference"/>
        </w:rPr>
        <w:footnoteRef/>
      </w:r>
      <w:r>
        <w:rPr>
          <w:sz w:val="20"/>
          <w:szCs w:val="20"/>
        </w:rPr>
        <w:t xml:space="preserve"> Financial Markets Authority </w:t>
      </w:r>
      <w:r>
        <w:rPr>
          <w:i/>
          <w:iCs/>
          <w:sz w:val="20"/>
          <w:szCs w:val="20"/>
        </w:rPr>
        <w:t>Financial Conduct Report</w:t>
      </w:r>
      <w:r>
        <w:rPr>
          <w:sz w:val="20"/>
          <w:szCs w:val="20"/>
        </w:rPr>
        <w:t xml:space="preserve"> (June 2025).</w:t>
      </w:r>
    </w:p>
  </w:footnote>
  <w:footnote w:id="42">
    <w:p w14:paraId="63F21BF4" w14:textId="77777777" w:rsidR="00A71428" w:rsidRDefault="00000000">
      <w:pPr>
        <w:spacing w:line="240" w:lineRule="auto"/>
        <w:rPr>
          <w:sz w:val="20"/>
          <w:szCs w:val="20"/>
        </w:rPr>
      </w:pPr>
      <w:r>
        <w:rPr>
          <w:rStyle w:val="FootnoteReference"/>
        </w:rPr>
        <w:footnoteRef/>
      </w:r>
      <w:r>
        <w:rPr>
          <w:sz w:val="20"/>
          <w:szCs w:val="20"/>
        </w:rPr>
        <w:t xml:space="preserve"> House, above n 26.</w:t>
      </w:r>
    </w:p>
  </w:footnote>
  <w:footnote w:id="43">
    <w:p w14:paraId="5A2747A4" w14:textId="77777777" w:rsidR="00A71428" w:rsidRDefault="00000000">
      <w:pPr>
        <w:spacing w:line="240" w:lineRule="auto"/>
        <w:rPr>
          <w:sz w:val="20"/>
          <w:szCs w:val="20"/>
        </w:rPr>
      </w:pPr>
      <w:r>
        <w:rPr>
          <w:rStyle w:val="FootnoteReference"/>
        </w:rPr>
        <w:footnoteRef/>
      </w:r>
      <w:r>
        <w:rPr>
          <w:sz w:val="20"/>
          <w:szCs w:val="20"/>
        </w:rPr>
        <w:t xml:space="preserve"> Joseph Longo, ASIC Chair "The regulator’s perspective" (AFA Hybrid Conference 2021, Association of Financial Advisers, Sydney, 21 September 2021).</w:t>
      </w:r>
    </w:p>
  </w:footnote>
  <w:footnote w:id="44">
    <w:p w14:paraId="2FF43CEA" w14:textId="77777777" w:rsidR="00A71428" w:rsidRDefault="00000000">
      <w:pPr>
        <w:spacing w:line="240" w:lineRule="auto"/>
        <w:rPr>
          <w:sz w:val="20"/>
          <w:szCs w:val="20"/>
        </w:rPr>
      </w:pPr>
      <w:r>
        <w:rPr>
          <w:rStyle w:val="FootnoteReference"/>
        </w:rPr>
        <w:footnoteRef/>
      </w:r>
      <w:r>
        <w:rPr>
          <w:sz w:val="20"/>
          <w:szCs w:val="20"/>
        </w:rPr>
        <w:t xml:space="preserve"> Financial Markets Authority </w:t>
      </w:r>
      <w:r>
        <w:rPr>
          <w:i/>
          <w:iCs/>
          <w:sz w:val="20"/>
          <w:szCs w:val="20"/>
        </w:rPr>
        <w:t>Investor Confidence Research</w:t>
      </w:r>
      <w:r>
        <w:rPr>
          <w:sz w:val="20"/>
          <w:szCs w:val="20"/>
        </w:rPr>
        <w:t xml:space="preserve"> (research report, June 2021) at 9.</w:t>
      </w:r>
    </w:p>
  </w:footnote>
  <w:footnote w:id="45">
    <w:p w14:paraId="47D1AAC9" w14:textId="77777777" w:rsidR="00A71428" w:rsidRDefault="00000000">
      <w:pPr>
        <w:spacing w:line="240" w:lineRule="auto"/>
        <w:rPr>
          <w:sz w:val="20"/>
          <w:szCs w:val="20"/>
        </w:rPr>
      </w:pPr>
      <w:r>
        <w:rPr>
          <w:rStyle w:val="FootnoteReference"/>
        </w:rPr>
        <w:footnoteRef/>
      </w:r>
      <w:r>
        <w:rPr>
          <w:sz w:val="20"/>
          <w:szCs w:val="20"/>
        </w:rPr>
        <w:t xml:space="preserve"> Office of Legal Counsel </w:t>
      </w:r>
      <w:r>
        <w:rPr>
          <w:i/>
          <w:iCs/>
          <w:sz w:val="20"/>
          <w:szCs w:val="20"/>
        </w:rPr>
        <w:t>Consistency with the New Zealand Bill of Rights Act 1990: Financial Services Legislation Amendment Bill</w:t>
      </w:r>
      <w:r>
        <w:rPr>
          <w:sz w:val="20"/>
          <w:szCs w:val="20"/>
        </w:rPr>
        <w:t xml:space="preserve"> (Ministry of Justice, 22 June 2017) at [10].</w:t>
      </w:r>
    </w:p>
  </w:footnote>
  <w:footnote w:id="46">
    <w:p w14:paraId="5191A953" w14:textId="77777777" w:rsidR="00A71428" w:rsidRDefault="00000000">
      <w:pPr>
        <w:spacing w:line="240" w:lineRule="auto"/>
        <w:rPr>
          <w:sz w:val="20"/>
          <w:szCs w:val="20"/>
        </w:rPr>
      </w:pPr>
      <w:r>
        <w:rPr>
          <w:rStyle w:val="FootnoteReference"/>
        </w:rPr>
        <w:footnoteRef/>
      </w:r>
      <w:r>
        <w:rPr>
          <w:sz w:val="20"/>
          <w:szCs w:val="20"/>
        </w:rPr>
        <w:t xml:space="preserve"> Cabinet Office Circular “Policy Framework for Occpupational Regulation” (8 June 1999) CO 99/6 at [3].</w:t>
      </w:r>
    </w:p>
  </w:footnote>
  <w:footnote w:id="47">
    <w:p w14:paraId="5C19B9DB" w14:textId="77777777" w:rsidR="00A71428" w:rsidRDefault="00000000">
      <w:pPr>
        <w:spacing w:line="240" w:lineRule="auto"/>
        <w:rPr>
          <w:sz w:val="20"/>
          <w:szCs w:val="20"/>
        </w:rPr>
      </w:pPr>
      <w:r>
        <w:rPr>
          <w:rStyle w:val="FootnoteReference"/>
        </w:rPr>
        <w:footnoteRef/>
      </w:r>
      <w:r>
        <w:rPr>
          <w:sz w:val="20"/>
          <w:szCs w:val="20"/>
        </w:rPr>
        <w:t xml:space="preserve"> At [3].</w:t>
      </w:r>
    </w:p>
  </w:footnote>
  <w:footnote w:id="48">
    <w:p w14:paraId="61FBE531" w14:textId="77777777" w:rsidR="00A71428" w:rsidRDefault="00000000">
      <w:pPr>
        <w:spacing w:line="240" w:lineRule="auto"/>
        <w:rPr>
          <w:sz w:val="20"/>
          <w:szCs w:val="20"/>
        </w:rPr>
      </w:pPr>
      <w:r>
        <w:rPr>
          <w:rStyle w:val="FootnoteReference"/>
        </w:rPr>
        <w:footnoteRef/>
      </w:r>
      <w:r>
        <w:rPr>
          <w:sz w:val="20"/>
          <w:szCs w:val="20"/>
        </w:rPr>
        <w:t xml:space="preserve"> Jassmyn Goh “Finfluencers not to be banned: Hume” </w:t>
      </w:r>
      <w:r>
        <w:rPr>
          <w:i/>
          <w:iCs/>
          <w:sz w:val="20"/>
          <w:szCs w:val="20"/>
        </w:rPr>
        <w:t>Money Management</w:t>
      </w:r>
      <w:r>
        <w:rPr>
          <w:sz w:val="20"/>
          <w:szCs w:val="20"/>
        </w:rPr>
        <w:t xml:space="preserve"> (Sydney, 21 September 2021). This statement was given prior to ASIC reversing their stance and imposing some of the most stringent rules for finfluencers globally. </w:t>
      </w:r>
    </w:p>
  </w:footnote>
  <w:footnote w:id="49">
    <w:p w14:paraId="17947274" w14:textId="77777777" w:rsidR="00A71428" w:rsidRDefault="00000000">
      <w:pPr>
        <w:spacing w:line="240" w:lineRule="auto"/>
        <w:rPr>
          <w:sz w:val="20"/>
          <w:szCs w:val="20"/>
        </w:rPr>
      </w:pPr>
      <w:r>
        <w:rPr>
          <w:rStyle w:val="FootnoteReference"/>
        </w:rPr>
        <w:footnoteRef/>
      </w:r>
      <w:r>
        <w:rPr>
          <w:sz w:val="20"/>
          <w:szCs w:val="20"/>
        </w:rPr>
        <w:t xml:space="preserve"> ASIC “ASIC cracks down on unlawful finfluencers in global push against misconduct” (press release, 12 June 2025). </w:t>
      </w:r>
    </w:p>
  </w:footnote>
  <w:footnote w:id="50">
    <w:p w14:paraId="34F783F7" w14:textId="77777777" w:rsidR="00A71428" w:rsidRDefault="00000000">
      <w:pPr>
        <w:spacing w:line="240" w:lineRule="auto"/>
        <w:rPr>
          <w:sz w:val="20"/>
          <w:szCs w:val="20"/>
        </w:rPr>
      </w:pPr>
      <w:r>
        <w:rPr>
          <w:rStyle w:val="FootnoteReference"/>
        </w:rPr>
        <w:footnoteRef/>
      </w:r>
      <w:r>
        <w:rPr>
          <w:sz w:val="20"/>
          <w:szCs w:val="20"/>
        </w:rPr>
        <w:t xml:space="preserve"> The Board of the International Organization of Securities Commission [IOSCO] </w:t>
      </w:r>
      <w:r>
        <w:rPr>
          <w:i/>
          <w:iCs/>
          <w:sz w:val="20"/>
          <w:szCs w:val="20"/>
        </w:rPr>
        <w:t>Final Report</w:t>
      </w:r>
      <w:r>
        <w:rPr>
          <w:sz w:val="20"/>
          <w:szCs w:val="20"/>
        </w:rPr>
        <w:t xml:space="preserve"> (FR/08/25, May 2025) at 15.</w:t>
      </w:r>
    </w:p>
  </w:footnote>
  <w:footnote w:id="51">
    <w:p w14:paraId="168E5A92" w14:textId="77777777" w:rsidR="00A71428" w:rsidRDefault="00000000">
      <w:pPr>
        <w:spacing w:line="240" w:lineRule="auto"/>
        <w:rPr>
          <w:sz w:val="20"/>
          <w:szCs w:val="20"/>
        </w:rPr>
      </w:pPr>
      <w:r>
        <w:rPr>
          <w:rStyle w:val="FootnoteReference"/>
        </w:rPr>
        <w:footnoteRef/>
      </w:r>
      <w:r>
        <w:rPr>
          <w:sz w:val="20"/>
          <w:szCs w:val="20"/>
        </w:rPr>
        <w:t xml:space="preserve"> Kwai, above n 22; and Maya Yang "The vast majority of NFTs are now worthless, new report shows" </w:t>
      </w:r>
      <w:r>
        <w:rPr>
          <w:i/>
          <w:iCs/>
          <w:sz w:val="20"/>
          <w:szCs w:val="20"/>
        </w:rPr>
        <w:t>The Guardian</w:t>
      </w:r>
      <w:r>
        <w:rPr>
          <w:sz w:val="20"/>
          <w:szCs w:val="20"/>
        </w:rPr>
        <w:t xml:space="preserve"> (London, 22 September 2023).</w:t>
      </w:r>
    </w:p>
  </w:footnote>
  <w:footnote w:id="52">
    <w:p w14:paraId="6E356396" w14:textId="77777777" w:rsidR="00A71428" w:rsidRDefault="00000000">
      <w:pPr>
        <w:spacing w:line="240" w:lineRule="auto"/>
        <w:rPr>
          <w:sz w:val="20"/>
          <w:szCs w:val="20"/>
        </w:rPr>
      </w:pPr>
      <w:r>
        <w:rPr>
          <w:rStyle w:val="FootnoteReference"/>
        </w:rPr>
        <w:footnoteRef/>
      </w:r>
      <w:r>
        <w:rPr>
          <w:sz w:val="20"/>
          <w:szCs w:val="20"/>
        </w:rPr>
        <w:t xml:space="preserve"> IOSCO, above n 50, at 41–49.</w:t>
      </w:r>
    </w:p>
  </w:footnote>
  <w:footnote w:id="53">
    <w:p w14:paraId="113A5573" w14:textId="77777777" w:rsidR="00A71428" w:rsidRDefault="00000000">
      <w:pPr>
        <w:spacing w:line="240" w:lineRule="auto"/>
        <w:rPr>
          <w:sz w:val="20"/>
          <w:szCs w:val="20"/>
        </w:rPr>
      </w:pPr>
      <w:r>
        <w:rPr>
          <w:rStyle w:val="FootnoteReference"/>
        </w:rPr>
        <w:footnoteRef/>
      </w:r>
      <w:r>
        <w:rPr>
          <w:sz w:val="20"/>
          <w:szCs w:val="20"/>
        </w:rPr>
        <w:t xml:space="preserve"> “Australian regulator cracks down on 'finfluencers' over unlawful financial advice” </w:t>
      </w:r>
      <w:r>
        <w:rPr>
          <w:i/>
          <w:iCs/>
          <w:sz w:val="20"/>
          <w:szCs w:val="20"/>
        </w:rPr>
        <w:t>Reuters</w:t>
      </w:r>
      <w:r>
        <w:rPr>
          <w:sz w:val="20"/>
          <w:szCs w:val="20"/>
        </w:rPr>
        <w:t xml:space="preserve"> (Sydney, 12 June 2025).</w:t>
      </w:r>
    </w:p>
  </w:footnote>
  <w:footnote w:id="54">
    <w:p w14:paraId="05ECDC18" w14:textId="77777777" w:rsidR="00A71428" w:rsidRDefault="00000000">
      <w:pPr>
        <w:spacing w:line="240" w:lineRule="auto"/>
        <w:rPr>
          <w:sz w:val="20"/>
          <w:szCs w:val="20"/>
        </w:rPr>
      </w:pPr>
      <w:r>
        <w:rPr>
          <w:rStyle w:val="FootnoteReference"/>
        </w:rPr>
        <w:footnoteRef/>
      </w:r>
      <w:r>
        <w:rPr>
          <w:sz w:val="20"/>
          <w:szCs w:val="20"/>
        </w:rPr>
        <w:t xml:space="preserve"> John Armour and others </w:t>
      </w:r>
      <w:r>
        <w:rPr>
          <w:i/>
          <w:iCs/>
          <w:sz w:val="20"/>
          <w:szCs w:val="20"/>
        </w:rPr>
        <w:t>Principles of Financial Regulation</w:t>
      </w:r>
      <w:r>
        <w:rPr>
          <w:sz w:val="20"/>
          <w:szCs w:val="20"/>
        </w:rPr>
        <w:t xml:space="preserve"> (Oxford University Press, 2016) at 205–206. </w:t>
      </w:r>
    </w:p>
  </w:footnote>
  <w:footnote w:id="55">
    <w:p w14:paraId="6AC44AD9" w14:textId="77777777" w:rsidR="00A71428" w:rsidRDefault="00000000">
      <w:pPr>
        <w:spacing w:line="240" w:lineRule="auto"/>
        <w:rPr>
          <w:sz w:val="20"/>
          <w:szCs w:val="20"/>
        </w:rPr>
      </w:pPr>
      <w:r>
        <w:rPr>
          <w:rStyle w:val="FootnoteReference"/>
        </w:rPr>
        <w:footnoteRef/>
      </w:r>
      <w:r>
        <w:rPr>
          <w:sz w:val="20"/>
          <w:szCs w:val="20"/>
        </w:rPr>
        <w:t xml:space="preserve"> See Martina Barash “Wrestler Logan Paul Gets Reprieve in CryptoZoo Fraud Lawsuit” </w:t>
      </w:r>
      <w:r>
        <w:rPr>
          <w:i/>
          <w:iCs/>
          <w:sz w:val="20"/>
          <w:szCs w:val="20"/>
        </w:rPr>
        <w:t>Bloomberg Law</w:t>
      </w:r>
      <w:r>
        <w:rPr>
          <w:sz w:val="20"/>
          <w:szCs w:val="20"/>
        </w:rPr>
        <w:t xml:space="preserve"> (New York, 31 October 2025) where a class-action proceeding relating to internet celebrity Logan Paul’s promotion of the failed crypto-project CryptoZoo was dismissed by a U.S. District Court for insufficient evidence of direct liability; </w:t>
      </w:r>
      <w:r>
        <w:rPr>
          <w:i/>
          <w:iCs/>
          <w:sz w:val="20"/>
          <w:szCs w:val="20"/>
        </w:rPr>
        <w:t>In re FTX Cryptocurrency Exchange Collapse Litigation</w:t>
      </w:r>
      <w:r>
        <w:rPr>
          <w:sz w:val="20"/>
          <w:szCs w:val="20"/>
        </w:rPr>
        <w:t xml:space="preserve"> no 1:23-md-03076 (SD Fla 2025) which was an aggregated federal civil litigation against celebrity endorsers of FTX which resulted in a May 2025 dismissal or substantially narrowed many of the promotional-based claims against numerous celebrity and influencer defendants.</w:t>
      </w:r>
    </w:p>
  </w:footnote>
  <w:footnote w:id="56">
    <w:p w14:paraId="077867A3" w14:textId="77777777" w:rsidR="00A71428" w:rsidRDefault="00000000">
      <w:pPr>
        <w:spacing w:line="240" w:lineRule="auto"/>
        <w:rPr>
          <w:sz w:val="20"/>
          <w:szCs w:val="20"/>
        </w:rPr>
      </w:pPr>
      <w:r>
        <w:rPr>
          <w:rStyle w:val="FootnoteReference"/>
        </w:rPr>
        <w:footnoteRef/>
      </w:r>
      <w:r>
        <w:rPr>
          <w:sz w:val="20"/>
          <w:szCs w:val="20"/>
        </w:rPr>
        <w:t xml:space="preserve"> Avery Hartmans “If you bought EMAX crypto tokens when Kim Kardashian promoted them on Instagram, you'd have lost over 95% of your money by now” </w:t>
      </w:r>
      <w:r>
        <w:rPr>
          <w:i/>
          <w:iCs/>
          <w:sz w:val="20"/>
          <w:szCs w:val="20"/>
        </w:rPr>
        <w:t>Business Insider</w:t>
      </w:r>
      <w:r>
        <w:rPr>
          <w:sz w:val="20"/>
          <w:szCs w:val="20"/>
        </w:rPr>
        <w:t xml:space="preserve"> (4 October 2022).</w:t>
      </w:r>
    </w:p>
  </w:footnote>
  <w:footnote w:id="57">
    <w:p w14:paraId="312C94FC" w14:textId="77777777" w:rsidR="00A71428" w:rsidRDefault="00000000">
      <w:pPr>
        <w:spacing w:line="240" w:lineRule="auto"/>
        <w:rPr>
          <w:sz w:val="20"/>
          <w:szCs w:val="20"/>
        </w:rPr>
      </w:pPr>
      <w:r>
        <w:rPr>
          <w:rStyle w:val="FootnoteReference"/>
        </w:rPr>
        <w:footnoteRef/>
      </w:r>
      <w:r>
        <w:rPr>
          <w:sz w:val="20"/>
          <w:szCs w:val="20"/>
        </w:rPr>
        <w:t xml:space="preserve"> </w:t>
      </w:r>
      <w:r>
        <w:rPr>
          <w:i/>
          <w:iCs/>
          <w:sz w:val="20"/>
          <w:szCs w:val="20"/>
        </w:rPr>
        <w:t>In Re Ethereummax Investor Litigation</w:t>
      </w:r>
      <w:r>
        <w:rPr>
          <w:sz w:val="20"/>
          <w:szCs w:val="20"/>
        </w:rPr>
        <w:t xml:space="preserve"> 2 22-cv-00163 (CD Cal 2025) at 42 and 75.</w:t>
      </w:r>
    </w:p>
  </w:footnote>
  <w:footnote w:id="58">
    <w:p w14:paraId="165C46F0" w14:textId="77777777" w:rsidR="00A71428" w:rsidRDefault="00000000">
      <w:pPr>
        <w:spacing w:line="240" w:lineRule="auto"/>
        <w:rPr>
          <w:sz w:val="20"/>
          <w:szCs w:val="20"/>
        </w:rPr>
      </w:pPr>
      <w:r>
        <w:rPr>
          <w:rStyle w:val="FootnoteReference"/>
        </w:rPr>
        <w:footnoteRef/>
      </w:r>
      <w:r>
        <w:rPr>
          <w:sz w:val="20"/>
          <w:szCs w:val="20"/>
        </w:rPr>
        <w:t xml:space="preserve"> Stace, above n 5, at 499.</w:t>
      </w:r>
    </w:p>
  </w:footnote>
  <w:footnote w:id="59">
    <w:p w14:paraId="6D1A3249" w14:textId="77777777" w:rsidR="00A71428" w:rsidRDefault="00000000">
      <w:pPr>
        <w:spacing w:line="240" w:lineRule="auto"/>
        <w:rPr>
          <w:sz w:val="20"/>
          <w:szCs w:val="20"/>
        </w:rPr>
      </w:pPr>
      <w:r>
        <w:rPr>
          <w:rStyle w:val="FootnoteReference"/>
        </w:rPr>
        <w:footnoteRef/>
      </w:r>
      <w:r>
        <w:rPr>
          <w:sz w:val="20"/>
          <w:szCs w:val="20"/>
        </w:rPr>
        <w:t xml:space="preserve"> Sally Kidson “Bridgecorp claimants owed $3.2m” </w:t>
      </w:r>
      <w:r>
        <w:rPr>
          <w:i/>
          <w:iCs/>
          <w:sz w:val="20"/>
          <w:szCs w:val="20"/>
        </w:rPr>
        <w:t>Nelson Mail</w:t>
      </w:r>
      <w:r>
        <w:rPr>
          <w:sz w:val="20"/>
          <w:szCs w:val="20"/>
        </w:rPr>
        <w:t xml:space="preserve"> (16 December 2009).</w:t>
      </w:r>
    </w:p>
  </w:footnote>
  <w:footnote w:id="60">
    <w:p w14:paraId="21081734" w14:textId="77777777" w:rsidR="00A71428" w:rsidRDefault="00000000">
      <w:pPr>
        <w:spacing w:line="240" w:lineRule="auto"/>
        <w:rPr>
          <w:sz w:val="20"/>
          <w:szCs w:val="20"/>
        </w:rPr>
      </w:pPr>
      <w:r>
        <w:rPr>
          <w:rStyle w:val="FootnoteReference"/>
        </w:rPr>
        <w:footnoteRef/>
      </w:r>
      <w:r>
        <w:rPr>
          <w:sz w:val="20"/>
          <w:szCs w:val="20"/>
        </w:rPr>
        <w:t xml:space="preserve"> William Mace "Investors disappointed at Blue Chip founder's sentence" </w:t>
      </w:r>
      <w:r>
        <w:rPr>
          <w:i/>
          <w:iCs/>
          <w:sz w:val="20"/>
          <w:szCs w:val="20"/>
        </w:rPr>
        <w:t>The Dominion Post</w:t>
      </w:r>
      <w:r>
        <w:rPr>
          <w:sz w:val="20"/>
          <w:szCs w:val="20"/>
        </w:rPr>
        <w:t xml:space="preserve"> (New Zealand, 21 May 2010).</w:t>
      </w:r>
    </w:p>
  </w:footnote>
  <w:footnote w:id="61">
    <w:p w14:paraId="4E6EE2F5" w14:textId="77777777" w:rsidR="00A71428" w:rsidRDefault="00000000">
      <w:pPr>
        <w:spacing w:line="240" w:lineRule="auto"/>
        <w:rPr>
          <w:sz w:val="20"/>
          <w:szCs w:val="20"/>
        </w:rPr>
      </w:pPr>
      <w:r>
        <w:rPr>
          <w:rStyle w:val="FootnoteReference"/>
        </w:rPr>
        <w:footnoteRef/>
      </w:r>
      <w:r>
        <w:rPr>
          <w:sz w:val="20"/>
          <w:szCs w:val="20"/>
        </w:rPr>
        <w:t xml:space="preserve"> Subpart 4 of the FMCA requires disclosure where financial advisers face similar conflicts of interest when recommending a financial product with a commission. </w:t>
      </w:r>
    </w:p>
  </w:footnote>
  <w:footnote w:id="62">
    <w:p w14:paraId="0F05AC45" w14:textId="77777777" w:rsidR="00A71428" w:rsidRDefault="00000000">
      <w:pPr>
        <w:spacing w:line="240" w:lineRule="auto"/>
        <w:rPr>
          <w:sz w:val="20"/>
          <w:szCs w:val="20"/>
        </w:rPr>
      </w:pPr>
      <w:r>
        <w:rPr>
          <w:rStyle w:val="FootnoteReference"/>
        </w:rPr>
        <w:footnoteRef/>
      </w:r>
      <w:r>
        <w:rPr>
          <w:sz w:val="20"/>
          <w:szCs w:val="20"/>
        </w:rPr>
        <w:t xml:space="preserve"> Armour and others, above n 54, at 217.</w:t>
      </w:r>
    </w:p>
  </w:footnote>
  <w:footnote w:id="63">
    <w:p w14:paraId="67AE8FAE" w14:textId="77777777" w:rsidR="00A71428" w:rsidRDefault="00000000">
      <w:pPr>
        <w:spacing w:line="240" w:lineRule="auto"/>
        <w:rPr>
          <w:sz w:val="20"/>
          <w:szCs w:val="20"/>
        </w:rPr>
      </w:pPr>
      <w:r>
        <w:rPr>
          <w:rStyle w:val="FootnoteReference"/>
        </w:rPr>
        <w:footnoteRef/>
      </w:r>
      <w:r>
        <w:rPr>
          <w:sz w:val="20"/>
          <w:szCs w:val="20"/>
        </w:rPr>
        <w:t xml:space="preserve"> In New Zealand, disclosure is required under the FMC Act and the ASA </w:t>
      </w:r>
      <w:r>
        <w:rPr>
          <w:i/>
          <w:iCs/>
          <w:sz w:val="20"/>
          <w:szCs w:val="20"/>
        </w:rPr>
        <w:t>Guidance Note on Identification of Advertisements</w:t>
      </w:r>
      <w:r>
        <w:rPr>
          <w:sz w:val="20"/>
          <w:szCs w:val="20"/>
        </w:rPr>
        <w:t xml:space="preserve"> (February 2025).</w:t>
      </w:r>
    </w:p>
  </w:footnote>
  <w:footnote w:id="64">
    <w:p w14:paraId="2ECB0464" w14:textId="77777777" w:rsidR="00A71428" w:rsidRDefault="00000000">
      <w:pPr>
        <w:spacing w:line="240" w:lineRule="auto"/>
        <w:rPr>
          <w:sz w:val="20"/>
          <w:szCs w:val="20"/>
        </w:rPr>
      </w:pPr>
      <w:r>
        <w:rPr>
          <w:rStyle w:val="FootnoteReference"/>
        </w:rPr>
        <w:footnoteRef/>
      </w:r>
      <w:r>
        <w:rPr>
          <w:sz w:val="20"/>
          <w:szCs w:val="20"/>
        </w:rPr>
        <w:t xml:space="preserve"> Serena Espeute and Rhodri Preece </w:t>
      </w:r>
      <w:r>
        <w:rPr>
          <w:i/>
          <w:iCs/>
          <w:sz w:val="20"/>
          <w:szCs w:val="20"/>
        </w:rPr>
        <w:t>The Finfluencer Appeal: Investing in the Age of Social Media</w:t>
      </w:r>
      <w:r>
        <w:rPr>
          <w:sz w:val="20"/>
          <w:szCs w:val="20"/>
        </w:rPr>
        <w:t xml:space="preserve"> (CFA Research and Policy Institute, January 2024) at 3.</w:t>
      </w:r>
    </w:p>
  </w:footnote>
  <w:footnote w:id="65">
    <w:p w14:paraId="3D7445AC" w14:textId="77777777" w:rsidR="00A71428" w:rsidRDefault="00000000">
      <w:pPr>
        <w:spacing w:line="240" w:lineRule="auto"/>
        <w:rPr>
          <w:sz w:val="20"/>
          <w:szCs w:val="20"/>
        </w:rPr>
      </w:pPr>
      <w:r>
        <w:rPr>
          <w:rStyle w:val="FootnoteReference"/>
        </w:rPr>
        <w:footnoteRef/>
      </w:r>
      <w:r>
        <w:rPr>
          <w:sz w:val="20"/>
          <w:szCs w:val="20"/>
        </w:rPr>
        <w:t xml:space="preserve"> Frederic Haase and others “The Role of Finfluencers in Shaping Crowd Sentiment: An Empirical Investigation” (Research Paper, Business &amp; Information Systems Engineering, 2025) at 2.</w:t>
      </w:r>
    </w:p>
  </w:footnote>
  <w:footnote w:id="66">
    <w:p w14:paraId="30A1AD0E" w14:textId="77777777" w:rsidR="00A71428" w:rsidRDefault="00000000">
      <w:pPr>
        <w:spacing w:line="240" w:lineRule="auto"/>
        <w:jc w:val="left"/>
        <w:rPr>
          <w:sz w:val="20"/>
          <w:szCs w:val="20"/>
        </w:rPr>
      </w:pPr>
      <w:r>
        <w:rPr>
          <w:rStyle w:val="FootnoteReference"/>
        </w:rPr>
        <w:footnoteRef/>
      </w:r>
      <w:r>
        <w:rPr>
          <w:sz w:val="20"/>
          <w:szCs w:val="20"/>
        </w:rPr>
        <w:t xml:space="preserve"> Michael Darby and Edi Karni “Free Competition and the Optimal Amount of Fraud” (1973) 16 Journal of Law and Economics 67 at </w:t>
      </w:r>
      <w:r>
        <w:rPr>
          <w:color w:val="222222"/>
          <w:sz w:val="20"/>
          <w:szCs w:val="20"/>
          <w:highlight w:val="white"/>
        </w:rPr>
        <w:t>69.</w:t>
      </w:r>
    </w:p>
  </w:footnote>
  <w:footnote w:id="67">
    <w:p w14:paraId="4578B632" w14:textId="77777777" w:rsidR="00A71428" w:rsidRDefault="00000000">
      <w:pPr>
        <w:spacing w:line="240" w:lineRule="auto"/>
        <w:rPr>
          <w:sz w:val="20"/>
          <w:szCs w:val="20"/>
        </w:rPr>
      </w:pPr>
      <w:r>
        <w:rPr>
          <w:rStyle w:val="FootnoteReference"/>
        </w:rPr>
        <w:footnoteRef/>
      </w:r>
      <w:r>
        <w:rPr>
          <w:sz w:val="20"/>
          <w:szCs w:val="20"/>
        </w:rPr>
        <w:t xml:space="preserve"> Lars Hornuf and others “Initial coin offerings, information disclosure, and fraud” (2022) Small Bus Econ 58 1741 at 1744.</w:t>
      </w:r>
    </w:p>
  </w:footnote>
  <w:footnote w:id="68">
    <w:p w14:paraId="42F27A46" w14:textId="77777777" w:rsidR="00A71428" w:rsidRDefault="00000000">
      <w:pPr>
        <w:spacing w:line="240" w:lineRule="auto"/>
        <w:rPr>
          <w:sz w:val="20"/>
          <w:szCs w:val="20"/>
        </w:rPr>
      </w:pPr>
      <w:r>
        <w:rPr>
          <w:rStyle w:val="FootnoteReference"/>
        </w:rPr>
        <w:footnoteRef/>
      </w:r>
      <w:r>
        <w:rPr>
          <w:sz w:val="20"/>
          <w:szCs w:val="20"/>
        </w:rPr>
        <w:t>Armour and others, above n 54, at 55.</w:t>
      </w:r>
    </w:p>
  </w:footnote>
  <w:footnote w:id="69">
    <w:p w14:paraId="6B49AEA9" w14:textId="77777777" w:rsidR="00A71428" w:rsidRDefault="00000000">
      <w:pPr>
        <w:spacing w:line="240" w:lineRule="auto"/>
        <w:rPr>
          <w:sz w:val="20"/>
          <w:szCs w:val="20"/>
        </w:rPr>
      </w:pPr>
      <w:r>
        <w:rPr>
          <w:rStyle w:val="FootnoteReference"/>
        </w:rPr>
        <w:footnoteRef/>
      </w:r>
      <w:r>
        <w:rPr>
          <w:sz w:val="20"/>
          <w:szCs w:val="20"/>
        </w:rPr>
        <w:t xml:space="preserve"> MBIE </w:t>
      </w:r>
      <w:r>
        <w:rPr>
          <w:i/>
          <w:iCs/>
          <w:sz w:val="20"/>
          <w:szCs w:val="20"/>
        </w:rPr>
        <w:t>Final Report</w:t>
      </w:r>
      <w:r>
        <w:rPr>
          <w:sz w:val="20"/>
          <w:szCs w:val="20"/>
        </w:rPr>
        <w:t>, above n 9, at 15.</w:t>
      </w:r>
    </w:p>
  </w:footnote>
  <w:footnote w:id="70">
    <w:p w14:paraId="04BE846E" w14:textId="77777777" w:rsidR="00A71428" w:rsidRDefault="00000000">
      <w:pPr>
        <w:spacing w:line="240" w:lineRule="auto"/>
        <w:rPr>
          <w:sz w:val="20"/>
          <w:szCs w:val="20"/>
        </w:rPr>
      </w:pPr>
      <w:r>
        <w:rPr>
          <w:rStyle w:val="FootnoteReference"/>
        </w:rPr>
        <w:footnoteRef/>
      </w:r>
      <w:r>
        <w:rPr>
          <w:sz w:val="20"/>
          <w:szCs w:val="20"/>
        </w:rPr>
        <w:t xml:space="preserve"> Financial Markets Authority </w:t>
      </w:r>
      <w:r>
        <w:rPr>
          <w:i/>
          <w:iCs/>
          <w:sz w:val="20"/>
          <w:szCs w:val="20"/>
        </w:rPr>
        <w:t xml:space="preserve">The Code of Professional Conduct for Financial Advice Services </w:t>
      </w:r>
      <w:r>
        <w:rPr>
          <w:sz w:val="20"/>
          <w:szCs w:val="20"/>
        </w:rPr>
        <w:t>[FMA Code of Conduct] (1 November 2025) at Code Standard 1.</w:t>
      </w:r>
    </w:p>
  </w:footnote>
  <w:footnote w:id="71">
    <w:p w14:paraId="1BEB2D2E" w14:textId="77777777" w:rsidR="00A71428" w:rsidRDefault="00000000">
      <w:pPr>
        <w:spacing w:line="240" w:lineRule="auto"/>
        <w:rPr>
          <w:sz w:val="20"/>
          <w:szCs w:val="20"/>
        </w:rPr>
      </w:pPr>
      <w:r>
        <w:rPr>
          <w:rStyle w:val="FootnoteReference"/>
        </w:rPr>
        <w:footnoteRef/>
      </w:r>
      <w:r>
        <w:rPr>
          <w:sz w:val="20"/>
          <w:szCs w:val="20"/>
        </w:rPr>
        <w:t xml:space="preserve"> Above n 23.</w:t>
      </w:r>
    </w:p>
  </w:footnote>
  <w:footnote w:id="72">
    <w:p w14:paraId="2831008C" w14:textId="77777777" w:rsidR="00A71428" w:rsidRDefault="00000000">
      <w:pPr>
        <w:spacing w:line="240" w:lineRule="auto"/>
        <w:rPr>
          <w:sz w:val="20"/>
          <w:szCs w:val="20"/>
        </w:rPr>
      </w:pPr>
      <w:r>
        <w:rPr>
          <w:rStyle w:val="FootnoteReference"/>
        </w:rPr>
        <w:footnoteRef/>
      </w:r>
      <w:r>
        <w:rPr>
          <w:sz w:val="20"/>
          <w:szCs w:val="20"/>
        </w:rPr>
        <w:t xml:space="preserve"> At [42].</w:t>
      </w:r>
    </w:p>
  </w:footnote>
  <w:footnote w:id="73">
    <w:p w14:paraId="7AEED598" w14:textId="77777777" w:rsidR="00A71428" w:rsidRDefault="00000000">
      <w:pPr>
        <w:spacing w:line="240" w:lineRule="auto"/>
        <w:rPr>
          <w:sz w:val="20"/>
          <w:szCs w:val="20"/>
        </w:rPr>
      </w:pPr>
      <w:r>
        <w:rPr>
          <w:rStyle w:val="FootnoteReference"/>
        </w:rPr>
        <w:footnoteRef/>
      </w:r>
      <w:r>
        <w:rPr>
          <w:sz w:val="20"/>
          <w:szCs w:val="20"/>
        </w:rPr>
        <w:t xml:space="preserve"> At [73].</w:t>
      </w:r>
    </w:p>
  </w:footnote>
  <w:footnote w:id="74">
    <w:p w14:paraId="37852726" w14:textId="77777777" w:rsidR="00A71428" w:rsidRDefault="00000000">
      <w:pPr>
        <w:spacing w:line="240" w:lineRule="auto"/>
        <w:rPr>
          <w:sz w:val="20"/>
          <w:szCs w:val="20"/>
        </w:rPr>
      </w:pPr>
      <w:r>
        <w:rPr>
          <w:rStyle w:val="FootnoteReference"/>
        </w:rPr>
        <w:footnoteRef/>
      </w:r>
      <w:r>
        <w:rPr>
          <w:sz w:val="20"/>
          <w:szCs w:val="20"/>
        </w:rPr>
        <w:t xml:space="preserve"> At [23] and [67].</w:t>
      </w:r>
    </w:p>
  </w:footnote>
  <w:footnote w:id="75">
    <w:p w14:paraId="0A3BAB1C" w14:textId="77777777" w:rsidR="00A71428" w:rsidRDefault="00000000">
      <w:pPr>
        <w:spacing w:line="240" w:lineRule="auto"/>
        <w:rPr>
          <w:sz w:val="20"/>
          <w:szCs w:val="20"/>
        </w:rPr>
      </w:pPr>
      <w:r>
        <w:rPr>
          <w:rStyle w:val="FootnoteReference"/>
        </w:rPr>
        <w:footnoteRef/>
      </w:r>
      <w:r>
        <w:rPr>
          <w:sz w:val="20"/>
          <w:szCs w:val="20"/>
        </w:rPr>
        <w:t xml:space="preserve"> MBIE </w:t>
      </w:r>
      <w:r>
        <w:rPr>
          <w:i/>
          <w:iCs/>
          <w:sz w:val="20"/>
          <w:szCs w:val="20"/>
        </w:rPr>
        <w:t>Final Report</w:t>
      </w:r>
      <w:r>
        <w:rPr>
          <w:sz w:val="20"/>
          <w:szCs w:val="20"/>
        </w:rPr>
        <w:t>, above n 9, at 14.</w:t>
      </w:r>
    </w:p>
  </w:footnote>
  <w:footnote w:id="76">
    <w:p w14:paraId="2E1FFD88" w14:textId="77777777" w:rsidR="00A71428" w:rsidRDefault="00000000">
      <w:pPr>
        <w:spacing w:line="240" w:lineRule="auto"/>
        <w:rPr>
          <w:sz w:val="20"/>
          <w:szCs w:val="20"/>
        </w:rPr>
      </w:pPr>
      <w:r>
        <w:rPr>
          <w:rStyle w:val="FootnoteReference"/>
        </w:rPr>
        <w:footnoteRef/>
      </w:r>
      <w:r>
        <w:rPr>
          <w:sz w:val="20"/>
          <w:szCs w:val="20"/>
        </w:rPr>
        <w:t xml:space="preserve"> Matteo Solinas “The Problem of "Adverse Selection’’ in the (Proposed) Regulation of Financial Advice in New Zealand” (2017) 27 NZLR 1215 at 1227.</w:t>
      </w:r>
    </w:p>
  </w:footnote>
  <w:footnote w:id="77">
    <w:p w14:paraId="1C4E1244" w14:textId="77777777" w:rsidR="00A71428" w:rsidRDefault="00000000">
      <w:pPr>
        <w:spacing w:line="240" w:lineRule="auto"/>
        <w:rPr>
          <w:sz w:val="20"/>
          <w:szCs w:val="20"/>
        </w:rPr>
      </w:pPr>
      <w:r>
        <w:rPr>
          <w:rStyle w:val="FootnoteReference"/>
        </w:rPr>
        <w:footnoteRef/>
      </w:r>
      <w:r>
        <w:rPr>
          <w:sz w:val="20"/>
          <w:szCs w:val="20"/>
        </w:rPr>
        <w:t xml:space="preserve"> At 1225.</w:t>
      </w:r>
    </w:p>
  </w:footnote>
  <w:footnote w:id="78">
    <w:p w14:paraId="7A1F7598" w14:textId="77777777" w:rsidR="00A71428" w:rsidRDefault="00000000">
      <w:pPr>
        <w:spacing w:line="240" w:lineRule="auto"/>
        <w:rPr>
          <w:sz w:val="20"/>
          <w:szCs w:val="20"/>
        </w:rPr>
      </w:pPr>
      <w:r>
        <w:rPr>
          <w:rStyle w:val="FootnoteReference"/>
        </w:rPr>
        <w:footnoteRef/>
      </w:r>
      <w:r>
        <w:rPr>
          <w:sz w:val="20"/>
          <w:szCs w:val="20"/>
        </w:rPr>
        <w:t xml:space="preserve"> Mace “TikTok clock ticking for investment advice", above n 33.</w:t>
      </w:r>
    </w:p>
  </w:footnote>
  <w:footnote w:id="79">
    <w:p w14:paraId="23EF3F95" w14:textId="77777777" w:rsidR="00A71428" w:rsidRDefault="00000000">
      <w:pPr>
        <w:spacing w:line="240" w:lineRule="auto"/>
        <w:rPr>
          <w:sz w:val="20"/>
          <w:szCs w:val="20"/>
        </w:rPr>
      </w:pPr>
      <w:r>
        <w:rPr>
          <w:rStyle w:val="FootnoteReference"/>
        </w:rPr>
        <w:footnoteRef/>
      </w:r>
      <w:r>
        <w:rPr>
          <w:sz w:val="20"/>
          <w:szCs w:val="20"/>
        </w:rPr>
        <w:t xml:space="preserve"> House, above n 26.</w:t>
      </w:r>
    </w:p>
  </w:footnote>
  <w:footnote w:id="80">
    <w:p w14:paraId="2C66F83E" w14:textId="77777777" w:rsidR="00A71428" w:rsidRDefault="00000000">
      <w:pPr>
        <w:spacing w:line="240" w:lineRule="auto"/>
        <w:rPr>
          <w:sz w:val="20"/>
          <w:szCs w:val="20"/>
        </w:rPr>
      </w:pPr>
      <w:r>
        <w:rPr>
          <w:rStyle w:val="FootnoteReference"/>
        </w:rPr>
        <w:footnoteRef/>
      </w:r>
      <w:r>
        <w:rPr>
          <w:sz w:val="20"/>
          <w:szCs w:val="20"/>
        </w:rPr>
        <w:t xml:space="preserve"> </w:t>
      </w:r>
      <w:hyperlink r:id="rId1">
        <w:r>
          <w:rPr>
            <w:sz w:val="20"/>
            <w:szCs w:val="20"/>
          </w:rPr>
          <w:t>Hayes and Ben-Shmuel, above n 7,</w:t>
        </w:r>
      </w:hyperlink>
      <w:r>
        <w:rPr>
          <w:sz w:val="20"/>
          <w:szCs w:val="20"/>
        </w:rPr>
        <w:t xml:space="preserve"> at 499.</w:t>
      </w:r>
    </w:p>
  </w:footnote>
  <w:footnote w:id="81">
    <w:p w14:paraId="054E3672" w14:textId="77777777" w:rsidR="00A71428" w:rsidRDefault="00000000">
      <w:pPr>
        <w:spacing w:line="240" w:lineRule="auto"/>
        <w:rPr>
          <w:sz w:val="20"/>
          <w:szCs w:val="20"/>
        </w:rPr>
      </w:pPr>
      <w:r>
        <w:rPr>
          <w:rStyle w:val="FootnoteReference"/>
        </w:rPr>
        <w:footnoteRef/>
      </w:r>
      <w:r>
        <w:rPr>
          <w:sz w:val="20"/>
          <w:szCs w:val="20"/>
        </w:rPr>
        <w:t xml:space="preserve"> Joshua White and others “The role of the media in speculative markets: Evidence from non-fungible tokens (NFTs)” (24 May 2022) Social Science Research Network &lt;www.ssrn.com&gt; at 26.</w:t>
      </w:r>
    </w:p>
  </w:footnote>
  <w:footnote w:id="82">
    <w:p w14:paraId="248B77AD" w14:textId="77777777" w:rsidR="00A71428" w:rsidRDefault="00000000">
      <w:pPr>
        <w:spacing w:line="240" w:lineRule="auto"/>
        <w:rPr>
          <w:sz w:val="20"/>
          <w:szCs w:val="20"/>
        </w:rPr>
      </w:pPr>
      <w:r>
        <w:rPr>
          <w:rStyle w:val="FootnoteReference"/>
        </w:rPr>
        <w:footnoteRef/>
      </w:r>
      <w:r>
        <w:rPr>
          <w:sz w:val="20"/>
          <w:szCs w:val="20"/>
        </w:rPr>
        <w:t xml:space="preserve"> Gerritsen and de Regt, above n 6, at 2.</w:t>
      </w:r>
    </w:p>
  </w:footnote>
  <w:footnote w:id="83">
    <w:p w14:paraId="157AED89" w14:textId="77777777" w:rsidR="00A71428" w:rsidRDefault="00000000">
      <w:pPr>
        <w:spacing w:line="240" w:lineRule="auto"/>
        <w:rPr>
          <w:sz w:val="20"/>
          <w:szCs w:val="20"/>
        </w:rPr>
      </w:pPr>
      <w:r>
        <w:rPr>
          <w:rStyle w:val="FootnoteReference"/>
        </w:rPr>
        <w:footnoteRef/>
      </w:r>
      <w:r>
        <w:rPr>
          <w:sz w:val="20"/>
          <w:szCs w:val="20"/>
        </w:rPr>
        <w:t xml:space="preserve"> Jan Meyer and others “My Money— My Problem: How Fear-Of-Missing-Out Appeals Can Hinder Sustainable Investment Decisions” (2024) </w:t>
      </w:r>
      <w:r>
        <w:rPr>
          <w:i/>
          <w:iCs/>
          <w:sz w:val="20"/>
          <w:szCs w:val="20"/>
        </w:rPr>
        <w:t>Psychology &amp; Marketing</w:t>
      </w:r>
      <w:r>
        <w:rPr>
          <w:sz w:val="20"/>
          <w:szCs w:val="20"/>
        </w:rPr>
        <w:t xml:space="preserve"> 41(11) 2677 at 2687.</w:t>
      </w:r>
    </w:p>
  </w:footnote>
  <w:footnote w:id="84">
    <w:p w14:paraId="27F75166" w14:textId="77777777" w:rsidR="00A71428" w:rsidRDefault="00000000">
      <w:pPr>
        <w:spacing w:line="240" w:lineRule="auto"/>
        <w:rPr>
          <w:sz w:val="20"/>
          <w:szCs w:val="20"/>
        </w:rPr>
      </w:pPr>
      <w:r>
        <w:rPr>
          <w:rStyle w:val="FootnoteReference"/>
        </w:rPr>
        <w:footnoteRef/>
      </w:r>
      <w:r>
        <w:rPr>
          <w:sz w:val="20"/>
          <w:szCs w:val="20"/>
        </w:rPr>
        <w:t xml:space="preserve"> Gerritsen and de Regt, above n 6, at 2; Syaiful Anshori and Nurika Restuningd “The “Influence of investors' Perceptions of Stock Influencer Credibility on Herding Behavior With Financial Literacy as a Moderating Variable” (2024) International Journal of Business and Applied Economics 3(1) 199 at 207.</w:t>
      </w:r>
    </w:p>
  </w:footnote>
  <w:footnote w:id="85">
    <w:p w14:paraId="55FA8B79" w14:textId="77777777" w:rsidR="00A71428" w:rsidRDefault="00000000">
      <w:pPr>
        <w:spacing w:line="240" w:lineRule="auto"/>
        <w:rPr>
          <w:sz w:val="20"/>
          <w:szCs w:val="20"/>
        </w:rPr>
      </w:pPr>
      <w:r>
        <w:rPr>
          <w:rStyle w:val="FootnoteReference"/>
        </w:rPr>
        <w:footnoteRef/>
      </w:r>
      <w:r>
        <w:rPr>
          <w:sz w:val="20"/>
          <w:szCs w:val="20"/>
        </w:rPr>
        <w:t xml:space="preserve"> Jens Mattke and others “Herd behavior in social media: the role of Facebook likes, strength of ties, and expertise” (2020) Inf Manag 57(8) at 10.</w:t>
      </w:r>
    </w:p>
  </w:footnote>
  <w:footnote w:id="86">
    <w:p w14:paraId="07C57D7F" w14:textId="77777777" w:rsidR="00A71428" w:rsidRDefault="00000000">
      <w:pPr>
        <w:spacing w:line="240" w:lineRule="auto"/>
        <w:rPr>
          <w:sz w:val="20"/>
          <w:szCs w:val="20"/>
        </w:rPr>
      </w:pPr>
      <w:r>
        <w:rPr>
          <w:rStyle w:val="FootnoteReference"/>
        </w:rPr>
        <w:footnoteRef/>
      </w:r>
      <w:r>
        <w:rPr>
          <w:sz w:val="20"/>
          <w:szCs w:val="20"/>
        </w:rPr>
        <w:t xml:space="preserve"> Kwai, above n 22.</w:t>
      </w:r>
    </w:p>
  </w:footnote>
  <w:footnote w:id="87">
    <w:p w14:paraId="3E6C3120" w14:textId="77777777" w:rsidR="00A71428" w:rsidRDefault="00000000">
      <w:pPr>
        <w:spacing w:line="240" w:lineRule="auto"/>
        <w:rPr>
          <w:sz w:val="20"/>
          <w:szCs w:val="20"/>
        </w:rPr>
      </w:pPr>
      <w:r>
        <w:rPr>
          <w:rStyle w:val="FootnoteReference"/>
        </w:rPr>
        <w:footnoteRef/>
      </w:r>
      <w:r>
        <w:rPr>
          <w:sz w:val="20"/>
          <w:szCs w:val="20"/>
        </w:rPr>
        <w:t xml:space="preserve"> FMA Guide, above n 4.</w:t>
      </w:r>
    </w:p>
  </w:footnote>
  <w:footnote w:id="88">
    <w:p w14:paraId="57A5771C" w14:textId="77777777" w:rsidR="00A71428" w:rsidRDefault="00000000">
      <w:pPr>
        <w:spacing w:line="240" w:lineRule="auto"/>
        <w:rPr>
          <w:sz w:val="20"/>
          <w:szCs w:val="20"/>
          <w:highlight w:val="yellow"/>
        </w:rPr>
      </w:pPr>
      <w:r>
        <w:rPr>
          <w:rStyle w:val="FootnoteReference"/>
        </w:rPr>
        <w:footnoteRef/>
      </w:r>
      <w:r>
        <w:rPr>
          <w:sz w:val="20"/>
          <w:szCs w:val="20"/>
        </w:rPr>
        <w:t xml:space="preserve"> Financial Markets Conduct Act 2013 [FMC Act], s 449(4). </w:t>
      </w:r>
    </w:p>
  </w:footnote>
  <w:footnote w:id="89">
    <w:p w14:paraId="01D748E3" w14:textId="77777777" w:rsidR="00A71428" w:rsidRDefault="00000000">
      <w:pPr>
        <w:spacing w:line="240" w:lineRule="auto"/>
        <w:rPr>
          <w:sz w:val="20"/>
          <w:szCs w:val="20"/>
        </w:rPr>
      </w:pPr>
      <w:r>
        <w:rPr>
          <w:rStyle w:val="FootnoteReference"/>
        </w:rPr>
        <w:footnoteRef/>
      </w:r>
      <w:r>
        <w:rPr>
          <w:sz w:val="20"/>
          <w:szCs w:val="20"/>
        </w:rPr>
        <w:t xml:space="preserve"> Armour and others, above n 54, at 230.</w:t>
      </w:r>
    </w:p>
  </w:footnote>
  <w:footnote w:id="90">
    <w:p w14:paraId="3B13EC87" w14:textId="77777777" w:rsidR="00A71428" w:rsidRDefault="00000000">
      <w:pPr>
        <w:spacing w:line="240" w:lineRule="auto"/>
        <w:rPr>
          <w:sz w:val="20"/>
          <w:szCs w:val="20"/>
        </w:rPr>
      </w:pPr>
      <w:r>
        <w:rPr>
          <w:rStyle w:val="FootnoteReference"/>
        </w:rPr>
        <w:footnoteRef/>
      </w:r>
      <w:r>
        <w:rPr>
          <w:sz w:val="20"/>
          <w:szCs w:val="20"/>
        </w:rPr>
        <w:t xml:space="preserve"> FMC Act, subpart 4.</w:t>
      </w:r>
    </w:p>
  </w:footnote>
  <w:footnote w:id="91">
    <w:p w14:paraId="0665DC81" w14:textId="77777777" w:rsidR="00A71428" w:rsidRDefault="00000000">
      <w:pPr>
        <w:spacing w:line="240" w:lineRule="auto"/>
        <w:rPr>
          <w:sz w:val="20"/>
          <w:szCs w:val="20"/>
        </w:rPr>
      </w:pPr>
      <w:r>
        <w:rPr>
          <w:rStyle w:val="FootnoteReference"/>
        </w:rPr>
        <w:footnoteRef/>
      </w:r>
      <w:r>
        <w:rPr>
          <w:sz w:val="20"/>
          <w:szCs w:val="20"/>
        </w:rPr>
        <w:t xml:space="preserve"> Financial Markets Conduct Act 2013 [FMC Act], ss 388(ba), 431F and 431G. In effect, giving regulated financial advice in the ordinary course of business is an activity which requires the person to hold a market services licence under s 388. The FMA issues a licence for providers of financial advice services called the financial advice provider licence: Financial Markets Authority “Financial Advice Provider licensing” (26 Feburary 2025) &lt;www.fma.govt.nz&gt;.</w:t>
      </w:r>
    </w:p>
  </w:footnote>
  <w:footnote w:id="92">
    <w:p w14:paraId="0CC8E2BC" w14:textId="77777777" w:rsidR="00A71428" w:rsidRDefault="00000000">
      <w:pPr>
        <w:spacing w:line="240" w:lineRule="auto"/>
        <w:rPr>
          <w:sz w:val="20"/>
          <w:szCs w:val="20"/>
        </w:rPr>
      </w:pPr>
      <w:r>
        <w:rPr>
          <w:rStyle w:val="FootnoteReference"/>
        </w:rPr>
        <w:footnoteRef/>
      </w:r>
      <w:r>
        <w:rPr>
          <w:sz w:val="20"/>
          <w:szCs w:val="20"/>
        </w:rPr>
        <w:t xml:space="preserve"> Section 431D.</w:t>
      </w:r>
    </w:p>
  </w:footnote>
  <w:footnote w:id="93">
    <w:p w14:paraId="11AEFDAC" w14:textId="77777777" w:rsidR="00A71428" w:rsidRDefault="00000000">
      <w:pPr>
        <w:spacing w:line="240" w:lineRule="auto"/>
        <w:rPr>
          <w:sz w:val="20"/>
          <w:szCs w:val="20"/>
        </w:rPr>
      </w:pPr>
      <w:r>
        <w:rPr>
          <w:rStyle w:val="FootnoteReference"/>
        </w:rPr>
        <w:footnoteRef/>
      </w:r>
      <w:r>
        <w:rPr>
          <w:sz w:val="20"/>
          <w:szCs w:val="20"/>
        </w:rPr>
        <w:t xml:space="preserve"> Section 10(2) of the Financial Advisers Act 2008 stated whether or not the advice is financial advice is not affected by how the advice is given or communicated. Although the FMC Act does not explicitly provide this, it is implicit in the definitions of “advertisement” and “distribute” in s 6.</w:t>
      </w:r>
    </w:p>
  </w:footnote>
  <w:footnote w:id="94">
    <w:p w14:paraId="01466BE1" w14:textId="77777777" w:rsidR="00A71428" w:rsidRDefault="00000000">
      <w:pPr>
        <w:spacing w:line="240" w:lineRule="auto"/>
        <w:rPr>
          <w:sz w:val="20"/>
          <w:szCs w:val="20"/>
        </w:rPr>
      </w:pPr>
      <w:r>
        <w:rPr>
          <w:rStyle w:val="FootnoteReference"/>
        </w:rPr>
        <w:footnoteRef/>
      </w:r>
      <w:r>
        <w:rPr>
          <w:sz w:val="20"/>
          <w:szCs w:val="20"/>
        </w:rPr>
        <w:t xml:space="preserve"> Section 431G. </w:t>
      </w:r>
    </w:p>
  </w:footnote>
  <w:footnote w:id="95">
    <w:p w14:paraId="05A559A7" w14:textId="77777777" w:rsidR="00A71428" w:rsidRDefault="00000000">
      <w:pPr>
        <w:spacing w:line="240" w:lineRule="auto"/>
        <w:rPr>
          <w:sz w:val="20"/>
          <w:szCs w:val="20"/>
        </w:rPr>
      </w:pPr>
      <w:r>
        <w:rPr>
          <w:rStyle w:val="FootnoteReference"/>
        </w:rPr>
        <w:footnoteRef/>
      </w:r>
      <w:r>
        <w:rPr>
          <w:sz w:val="20"/>
          <w:szCs w:val="20"/>
        </w:rPr>
        <w:t xml:space="preserve"> For example, finfluencer Tyler Scholz held himself out as a self-taught share trading expert on the Australian Securities Exchange which allowed him to sell his stock picks and educational courses; </w:t>
      </w:r>
      <w:r>
        <w:rPr>
          <w:i/>
          <w:iCs/>
          <w:sz w:val="20"/>
          <w:szCs w:val="20"/>
        </w:rPr>
        <w:t>Scholz</w:t>
      </w:r>
      <w:r>
        <w:rPr>
          <w:sz w:val="20"/>
          <w:szCs w:val="20"/>
        </w:rPr>
        <w:t>, above n 20, at [73].</w:t>
      </w:r>
    </w:p>
  </w:footnote>
  <w:footnote w:id="96">
    <w:p w14:paraId="336D1703" w14:textId="77777777" w:rsidR="00A71428" w:rsidRDefault="00000000">
      <w:pPr>
        <w:spacing w:line="240" w:lineRule="auto"/>
        <w:rPr>
          <w:sz w:val="20"/>
          <w:szCs w:val="20"/>
        </w:rPr>
      </w:pPr>
      <w:r>
        <w:rPr>
          <w:rStyle w:val="FootnoteReference"/>
        </w:rPr>
        <w:footnoteRef/>
      </w:r>
      <w:r>
        <w:rPr>
          <w:sz w:val="20"/>
          <w:szCs w:val="20"/>
        </w:rPr>
        <w:t xml:space="preserve"> FMC Act, s 431G. </w:t>
      </w:r>
    </w:p>
  </w:footnote>
  <w:footnote w:id="97">
    <w:p w14:paraId="7B18AE08" w14:textId="77777777" w:rsidR="00A71428" w:rsidRDefault="00000000">
      <w:pPr>
        <w:spacing w:line="240" w:lineRule="auto"/>
        <w:rPr>
          <w:sz w:val="20"/>
          <w:szCs w:val="20"/>
        </w:rPr>
      </w:pPr>
      <w:r>
        <w:rPr>
          <w:rStyle w:val="FootnoteReference"/>
        </w:rPr>
        <w:footnoteRef/>
      </w:r>
      <w:r>
        <w:rPr>
          <w:sz w:val="20"/>
          <w:szCs w:val="20"/>
        </w:rPr>
        <w:t xml:space="preserve"> Section 431A(1)(a).</w:t>
      </w:r>
    </w:p>
  </w:footnote>
  <w:footnote w:id="98">
    <w:p w14:paraId="7CD96C97" w14:textId="77777777" w:rsidR="00A71428" w:rsidRDefault="00000000">
      <w:pPr>
        <w:spacing w:line="240" w:lineRule="auto"/>
        <w:rPr>
          <w:sz w:val="20"/>
          <w:szCs w:val="20"/>
        </w:rPr>
      </w:pPr>
      <w:r>
        <w:rPr>
          <w:rStyle w:val="FootnoteReference"/>
        </w:rPr>
        <w:footnoteRef/>
      </w:r>
      <w:r>
        <w:rPr>
          <w:sz w:val="20"/>
          <w:szCs w:val="20"/>
        </w:rPr>
        <w:t xml:space="preserve"> Section 389(2)(a).</w:t>
      </w:r>
    </w:p>
  </w:footnote>
  <w:footnote w:id="99">
    <w:p w14:paraId="3C27D2DE" w14:textId="77777777" w:rsidR="00A71428" w:rsidRDefault="00000000">
      <w:pPr>
        <w:spacing w:line="240" w:lineRule="auto"/>
        <w:rPr>
          <w:sz w:val="20"/>
          <w:szCs w:val="20"/>
        </w:rPr>
      </w:pPr>
      <w:r>
        <w:rPr>
          <w:rStyle w:val="FootnoteReference"/>
        </w:rPr>
        <w:footnoteRef/>
      </w:r>
      <w:r>
        <w:rPr>
          <w:sz w:val="20"/>
          <w:szCs w:val="20"/>
        </w:rPr>
        <w:t xml:space="preserve"> FMC Act, ss 388(ba) and 389(2)(a).</w:t>
      </w:r>
    </w:p>
  </w:footnote>
  <w:footnote w:id="100">
    <w:p w14:paraId="5ED16BC8" w14:textId="77777777" w:rsidR="00A71428" w:rsidRDefault="00000000">
      <w:pPr>
        <w:spacing w:line="240" w:lineRule="auto"/>
        <w:rPr>
          <w:sz w:val="20"/>
          <w:szCs w:val="20"/>
        </w:rPr>
      </w:pPr>
      <w:r>
        <w:rPr>
          <w:rStyle w:val="FootnoteReference"/>
        </w:rPr>
        <w:footnoteRef/>
      </w:r>
      <w:r>
        <w:rPr>
          <w:sz w:val="20"/>
          <w:szCs w:val="20"/>
        </w:rPr>
        <w:t xml:space="preserve"> Schedule 1 cl 35(1).</w:t>
      </w:r>
    </w:p>
  </w:footnote>
  <w:footnote w:id="101">
    <w:p w14:paraId="2320CF65" w14:textId="77777777" w:rsidR="00A71428" w:rsidRDefault="00000000">
      <w:pPr>
        <w:spacing w:line="240" w:lineRule="auto"/>
        <w:rPr>
          <w:sz w:val="20"/>
          <w:szCs w:val="20"/>
        </w:rPr>
      </w:pPr>
      <w:r>
        <w:rPr>
          <w:rStyle w:val="FootnoteReference"/>
        </w:rPr>
        <w:footnoteRef/>
      </w:r>
      <w:r>
        <w:rPr>
          <w:sz w:val="20"/>
          <w:szCs w:val="20"/>
        </w:rPr>
        <w:t xml:space="preserve"> MBIE </w:t>
      </w:r>
      <w:r>
        <w:rPr>
          <w:i/>
          <w:iCs/>
          <w:sz w:val="20"/>
          <w:szCs w:val="20"/>
        </w:rPr>
        <w:t>Final Report</w:t>
      </w:r>
      <w:r>
        <w:rPr>
          <w:sz w:val="20"/>
          <w:szCs w:val="20"/>
        </w:rPr>
        <w:t>, above n 9, at 12.</w:t>
      </w:r>
    </w:p>
  </w:footnote>
  <w:footnote w:id="102">
    <w:p w14:paraId="3CC11335" w14:textId="77777777" w:rsidR="00A71428" w:rsidRDefault="00000000">
      <w:pPr>
        <w:spacing w:line="240" w:lineRule="auto"/>
        <w:rPr>
          <w:sz w:val="20"/>
          <w:szCs w:val="20"/>
        </w:rPr>
      </w:pPr>
      <w:r>
        <w:rPr>
          <w:rStyle w:val="FootnoteReference"/>
        </w:rPr>
        <w:footnoteRef/>
      </w:r>
      <w:r>
        <w:rPr>
          <w:sz w:val="20"/>
          <w:szCs w:val="20"/>
        </w:rPr>
        <w:t xml:space="preserve"> At 12.</w:t>
      </w:r>
    </w:p>
  </w:footnote>
  <w:footnote w:id="103">
    <w:p w14:paraId="560AB6F6" w14:textId="77777777" w:rsidR="00A71428" w:rsidRDefault="00000000">
      <w:pPr>
        <w:spacing w:line="240" w:lineRule="auto"/>
        <w:rPr>
          <w:sz w:val="20"/>
          <w:szCs w:val="20"/>
        </w:rPr>
      </w:pPr>
      <w:r>
        <w:rPr>
          <w:rStyle w:val="FootnoteReference"/>
        </w:rPr>
        <w:footnoteRef/>
      </w:r>
      <w:r>
        <w:rPr>
          <w:sz w:val="20"/>
          <w:szCs w:val="20"/>
        </w:rPr>
        <w:t xml:space="preserve"> FMC Act, s 431C. </w:t>
      </w:r>
    </w:p>
  </w:footnote>
  <w:footnote w:id="104">
    <w:p w14:paraId="7419EBFB" w14:textId="77777777" w:rsidR="00A71428" w:rsidRDefault="00000000">
      <w:pPr>
        <w:spacing w:line="240" w:lineRule="auto"/>
        <w:rPr>
          <w:sz w:val="20"/>
          <w:szCs w:val="20"/>
        </w:rPr>
      </w:pPr>
      <w:r>
        <w:rPr>
          <w:rStyle w:val="FootnoteReference"/>
        </w:rPr>
        <w:footnoteRef/>
      </w:r>
      <w:r>
        <w:rPr>
          <w:sz w:val="20"/>
          <w:szCs w:val="20"/>
        </w:rPr>
        <w:t xml:space="preserve"> No publicly accessible New Zealand case law has interpreted this phrase.</w:t>
      </w:r>
    </w:p>
  </w:footnote>
  <w:footnote w:id="105">
    <w:p w14:paraId="217EFC9D" w14:textId="77777777" w:rsidR="00A71428" w:rsidRDefault="00000000">
      <w:pPr>
        <w:spacing w:line="240" w:lineRule="auto"/>
        <w:jc w:val="left"/>
        <w:rPr>
          <w:sz w:val="20"/>
          <w:szCs w:val="20"/>
        </w:rPr>
      </w:pPr>
      <w:r>
        <w:rPr>
          <w:rStyle w:val="FootnoteReference"/>
        </w:rPr>
        <w:footnoteRef/>
      </w:r>
      <w:r>
        <w:rPr>
          <w:sz w:val="20"/>
          <w:szCs w:val="20"/>
        </w:rPr>
        <w:t xml:space="preserve"> Section 431B.</w:t>
      </w:r>
    </w:p>
  </w:footnote>
  <w:footnote w:id="106">
    <w:p w14:paraId="1FADD340" w14:textId="77777777" w:rsidR="00A71428" w:rsidRDefault="00000000">
      <w:pPr>
        <w:spacing w:line="240" w:lineRule="auto"/>
        <w:rPr>
          <w:sz w:val="20"/>
          <w:szCs w:val="20"/>
        </w:rPr>
      </w:pPr>
      <w:r>
        <w:rPr>
          <w:rStyle w:val="FootnoteReference"/>
        </w:rPr>
        <w:footnoteRef/>
      </w:r>
      <w:r>
        <w:rPr>
          <w:i/>
          <w:iCs/>
          <w:sz w:val="20"/>
          <w:szCs w:val="20"/>
        </w:rPr>
        <w:t xml:space="preserve"> ASIC v Park Trent Properties Group Ptd Ltd (No 3) </w:t>
      </w:r>
      <w:r>
        <w:rPr>
          <w:sz w:val="20"/>
          <w:szCs w:val="20"/>
        </w:rPr>
        <w:t>[2015] NSWSC 782 at [366]; cited in Scott Yang ""This Isn't Financial Advice!"": Finfluencers and New Zealand's Financial Advice Laws" (2024) NZ L Rev 471 at 479.</w:t>
      </w:r>
    </w:p>
  </w:footnote>
  <w:footnote w:id="107">
    <w:p w14:paraId="6A8E0B46" w14:textId="77777777" w:rsidR="00A71428" w:rsidRDefault="00000000">
      <w:pPr>
        <w:spacing w:line="240" w:lineRule="auto"/>
        <w:rPr>
          <w:sz w:val="20"/>
          <w:szCs w:val="20"/>
        </w:rPr>
      </w:pPr>
      <w:r>
        <w:rPr>
          <w:rStyle w:val="FootnoteReference"/>
        </w:rPr>
        <w:footnoteRef/>
      </w:r>
      <w:r>
        <w:rPr>
          <w:sz w:val="20"/>
          <w:szCs w:val="20"/>
        </w:rPr>
        <w:t xml:space="preserve"> At [365].</w:t>
      </w:r>
    </w:p>
  </w:footnote>
  <w:footnote w:id="108">
    <w:p w14:paraId="66537224" w14:textId="77777777" w:rsidR="00A71428" w:rsidRDefault="00000000">
      <w:pPr>
        <w:spacing w:line="240" w:lineRule="auto"/>
        <w:rPr>
          <w:sz w:val="20"/>
          <w:szCs w:val="20"/>
        </w:rPr>
      </w:pPr>
      <w:r>
        <w:rPr>
          <w:rStyle w:val="FootnoteReference"/>
        </w:rPr>
        <w:footnoteRef/>
      </w:r>
      <w:r>
        <w:rPr>
          <w:sz w:val="20"/>
          <w:szCs w:val="20"/>
        </w:rPr>
        <w:t xml:space="preserve"> </w:t>
      </w:r>
      <w:hyperlink r:id="rId2">
        <w:r>
          <w:rPr>
            <w:sz w:val="20"/>
            <w:szCs w:val="20"/>
          </w:rPr>
          <w:t>Hayes and Ben-Shmuel, above n 7,</w:t>
        </w:r>
      </w:hyperlink>
      <w:r>
        <w:rPr>
          <w:sz w:val="20"/>
          <w:szCs w:val="20"/>
        </w:rPr>
        <w:t xml:space="preserve"> at 487.</w:t>
      </w:r>
    </w:p>
  </w:footnote>
  <w:footnote w:id="109">
    <w:p w14:paraId="2A4EB6A1" w14:textId="77777777" w:rsidR="00A71428" w:rsidRDefault="00000000">
      <w:pPr>
        <w:spacing w:line="240" w:lineRule="auto"/>
        <w:rPr>
          <w:sz w:val="20"/>
          <w:szCs w:val="20"/>
        </w:rPr>
      </w:pPr>
      <w:r>
        <w:rPr>
          <w:rStyle w:val="FootnoteReference"/>
        </w:rPr>
        <w:footnoteRef/>
      </w:r>
      <w:r>
        <w:rPr>
          <w:sz w:val="20"/>
          <w:szCs w:val="20"/>
        </w:rPr>
        <w:t xml:space="preserve"> FMC Act, sch 5 cl 7(a).</w:t>
      </w:r>
    </w:p>
  </w:footnote>
  <w:footnote w:id="110">
    <w:p w14:paraId="28C11961" w14:textId="77777777" w:rsidR="00A71428" w:rsidRDefault="00000000">
      <w:pPr>
        <w:spacing w:line="240" w:lineRule="auto"/>
        <w:rPr>
          <w:sz w:val="20"/>
          <w:szCs w:val="20"/>
        </w:rPr>
      </w:pPr>
      <w:r>
        <w:rPr>
          <w:rStyle w:val="FootnoteReference"/>
        </w:rPr>
        <w:footnoteRef/>
      </w:r>
      <w:r>
        <w:rPr>
          <w:sz w:val="20"/>
          <w:szCs w:val="20"/>
        </w:rPr>
        <w:t xml:space="preserve"> Schedule 5 cl 7(c).</w:t>
      </w:r>
    </w:p>
  </w:footnote>
  <w:footnote w:id="111">
    <w:p w14:paraId="12F75E61" w14:textId="77777777" w:rsidR="00A71428" w:rsidRDefault="00000000">
      <w:pPr>
        <w:spacing w:line="240" w:lineRule="auto"/>
        <w:rPr>
          <w:sz w:val="20"/>
          <w:szCs w:val="20"/>
        </w:rPr>
      </w:pPr>
      <w:r>
        <w:rPr>
          <w:rStyle w:val="FootnoteReference"/>
        </w:rPr>
        <w:footnoteRef/>
      </w:r>
      <w:r>
        <w:rPr>
          <w:sz w:val="20"/>
          <w:szCs w:val="20"/>
        </w:rPr>
        <w:t xml:space="preserve"> Schedule 5 cl 7.</w:t>
      </w:r>
    </w:p>
  </w:footnote>
  <w:footnote w:id="112">
    <w:p w14:paraId="36EC754C" w14:textId="77777777" w:rsidR="00A71428" w:rsidRDefault="00000000">
      <w:pPr>
        <w:spacing w:line="240" w:lineRule="auto"/>
        <w:rPr>
          <w:sz w:val="20"/>
          <w:szCs w:val="20"/>
        </w:rPr>
      </w:pPr>
      <w:r>
        <w:rPr>
          <w:rStyle w:val="FootnoteReference"/>
        </w:rPr>
        <w:footnoteRef/>
      </w:r>
      <w:r>
        <w:rPr>
          <w:sz w:val="20"/>
          <w:szCs w:val="20"/>
        </w:rPr>
        <w:t xml:space="preserve"> FMA Guide, n 4.</w:t>
      </w:r>
    </w:p>
  </w:footnote>
  <w:footnote w:id="113">
    <w:p w14:paraId="285CB815" w14:textId="77777777" w:rsidR="00A71428" w:rsidRDefault="00000000">
      <w:pPr>
        <w:spacing w:line="240" w:lineRule="auto"/>
        <w:rPr>
          <w:sz w:val="20"/>
          <w:szCs w:val="20"/>
        </w:rPr>
      </w:pPr>
      <w:r>
        <w:rPr>
          <w:rStyle w:val="FootnoteReference"/>
        </w:rPr>
        <w:footnoteRef/>
      </w:r>
      <w:r>
        <w:rPr>
          <w:sz w:val="20"/>
          <w:szCs w:val="20"/>
        </w:rPr>
        <w:t xml:space="preserve"> FMA Guide, n 4.</w:t>
      </w:r>
    </w:p>
  </w:footnote>
  <w:footnote w:id="114">
    <w:p w14:paraId="080EBE72" w14:textId="77777777" w:rsidR="00A71428" w:rsidRDefault="00000000">
      <w:pPr>
        <w:spacing w:line="240" w:lineRule="auto"/>
        <w:rPr>
          <w:sz w:val="20"/>
          <w:szCs w:val="20"/>
        </w:rPr>
      </w:pPr>
      <w:r>
        <w:rPr>
          <w:rStyle w:val="FootnoteReference"/>
        </w:rPr>
        <w:footnoteRef/>
      </w:r>
      <w:r>
        <w:rPr>
          <w:sz w:val="20"/>
          <w:szCs w:val="20"/>
        </w:rPr>
        <w:t xml:space="preserve"> FMC Act, s 431A(1)(a). </w:t>
      </w:r>
    </w:p>
  </w:footnote>
  <w:footnote w:id="115">
    <w:p w14:paraId="38ACD376" w14:textId="77777777" w:rsidR="00A71428" w:rsidRDefault="00000000">
      <w:pPr>
        <w:spacing w:line="240" w:lineRule="auto"/>
        <w:rPr>
          <w:sz w:val="20"/>
          <w:szCs w:val="20"/>
        </w:rPr>
      </w:pPr>
      <w:r>
        <w:rPr>
          <w:rStyle w:val="FootnoteReference"/>
        </w:rPr>
        <w:footnoteRef/>
      </w:r>
      <w:r>
        <w:rPr>
          <w:sz w:val="20"/>
          <w:szCs w:val="20"/>
        </w:rPr>
        <w:t xml:space="preserve"> Annie Zhang and others “Peer effects, personal characteristics and asset allocation” (2018) 90 Journal of Banking &amp; Finance 76 at 92.</w:t>
      </w:r>
    </w:p>
  </w:footnote>
  <w:footnote w:id="116">
    <w:p w14:paraId="59392A9C" w14:textId="77777777" w:rsidR="00A71428" w:rsidRDefault="00000000">
      <w:pPr>
        <w:spacing w:line="240" w:lineRule="auto"/>
        <w:rPr>
          <w:sz w:val="20"/>
          <w:szCs w:val="20"/>
        </w:rPr>
      </w:pPr>
      <w:r>
        <w:rPr>
          <w:rStyle w:val="FootnoteReference"/>
        </w:rPr>
        <w:footnoteRef/>
      </w:r>
      <w:r>
        <w:rPr>
          <w:sz w:val="20"/>
          <w:szCs w:val="20"/>
        </w:rPr>
        <w:t xml:space="preserve"> Financial Markets Authority, Reserve Bank of New Zealand and Department of Internal Affairs </w:t>
      </w:r>
      <w:r>
        <w:rPr>
          <w:i/>
          <w:iCs/>
          <w:sz w:val="20"/>
          <w:szCs w:val="20"/>
        </w:rPr>
        <w:t>Interpreting "ordinary course of business" Guideline</w:t>
      </w:r>
      <w:r>
        <w:rPr>
          <w:sz w:val="20"/>
          <w:szCs w:val="20"/>
        </w:rPr>
        <w:t xml:space="preserve"> (December 2017) at [3]; Yang, above n 106, at 492.</w:t>
      </w:r>
    </w:p>
  </w:footnote>
  <w:footnote w:id="117">
    <w:p w14:paraId="01248D39" w14:textId="77777777" w:rsidR="00A71428" w:rsidRDefault="00000000">
      <w:pPr>
        <w:spacing w:line="240" w:lineRule="auto"/>
        <w:rPr>
          <w:sz w:val="20"/>
          <w:szCs w:val="20"/>
        </w:rPr>
      </w:pPr>
      <w:r>
        <w:rPr>
          <w:rStyle w:val="FootnoteReference"/>
        </w:rPr>
        <w:footnoteRef/>
      </w:r>
      <w:r>
        <w:rPr>
          <w:sz w:val="20"/>
          <w:szCs w:val="20"/>
        </w:rPr>
        <w:t xml:space="preserve"> At [9]. </w:t>
      </w:r>
    </w:p>
  </w:footnote>
  <w:footnote w:id="118">
    <w:p w14:paraId="724A826B" w14:textId="77777777" w:rsidR="00A71428" w:rsidRDefault="00000000">
      <w:pPr>
        <w:spacing w:line="240" w:lineRule="auto"/>
        <w:rPr>
          <w:sz w:val="20"/>
          <w:szCs w:val="20"/>
        </w:rPr>
      </w:pPr>
      <w:r>
        <w:rPr>
          <w:rStyle w:val="FootnoteReference"/>
        </w:rPr>
        <w:footnoteRef/>
      </w:r>
      <w:r>
        <w:rPr>
          <w:sz w:val="20"/>
          <w:szCs w:val="20"/>
        </w:rPr>
        <w:t xml:space="preserve"> At [8].</w:t>
      </w:r>
    </w:p>
  </w:footnote>
  <w:footnote w:id="119">
    <w:p w14:paraId="2F7A445A" w14:textId="77777777" w:rsidR="00A71428" w:rsidRDefault="00000000">
      <w:pPr>
        <w:spacing w:line="240" w:lineRule="auto"/>
        <w:rPr>
          <w:sz w:val="20"/>
          <w:szCs w:val="20"/>
        </w:rPr>
      </w:pPr>
      <w:r>
        <w:rPr>
          <w:rStyle w:val="FootnoteReference"/>
        </w:rPr>
        <w:footnoteRef/>
      </w:r>
      <w:r>
        <w:rPr>
          <w:sz w:val="20"/>
          <w:szCs w:val="20"/>
        </w:rPr>
        <w:t xml:space="preserve"> At [17].</w:t>
      </w:r>
    </w:p>
  </w:footnote>
  <w:footnote w:id="120">
    <w:p w14:paraId="009CEAEB" w14:textId="77777777" w:rsidR="00A71428" w:rsidRDefault="00000000">
      <w:pPr>
        <w:spacing w:line="240" w:lineRule="auto"/>
        <w:rPr>
          <w:sz w:val="20"/>
          <w:szCs w:val="20"/>
        </w:rPr>
      </w:pPr>
      <w:r>
        <w:rPr>
          <w:rStyle w:val="FootnoteReference"/>
        </w:rPr>
        <w:footnoteRef/>
      </w:r>
      <w:r>
        <w:rPr>
          <w:sz w:val="20"/>
          <w:szCs w:val="20"/>
        </w:rPr>
        <w:t xml:space="preserve"> Scott Yang, above n 106, at 493.</w:t>
      </w:r>
    </w:p>
  </w:footnote>
  <w:footnote w:id="121">
    <w:p w14:paraId="1EECF205" w14:textId="77777777" w:rsidR="00A71428" w:rsidRDefault="00000000">
      <w:pPr>
        <w:spacing w:line="240" w:lineRule="auto"/>
        <w:rPr>
          <w:sz w:val="20"/>
          <w:szCs w:val="20"/>
        </w:rPr>
      </w:pPr>
      <w:r>
        <w:rPr>
          <w:rStyle w:val="FootnoteReference"/>
        </w:rPr>
        <w:footnoteRef/>
      </w:r>
      <w:r>
        <w:rPr>
          <w:sz w:val="20"/>
          <w:szCs w:val="20"/>
        </w:rPr>
        <w:t xml:space="preserve"> Above n 20, at [149]–[153]. </w:t>
      </w:r>
    </w:p>
  </w:footnote>
  <w:footnote w:id="122">
    <w:p w14:paraId="030D6996" w14:textId="77777777" w:rsidR="00A71428" w:rsidRDefault="00000000">
      <w:pPr>
        <w:spacing w:line="240" w:lineRule="auto"/>
        <w:rPr>
          <w:sz w:val="20"/>
          <w:szCs w:val="20"/>
        </w:rPr>
      </w:pPr>
      <w:r>
        <w:rPr>
          <w:rStyle w:val="FootnoteReference"/>
        </w:rPr>
        <w:footnoteRef/>
      </w:r>
      <w:r>
        <w:rPr>
          <w:sz w:val="20"/>
          <w:szCs w:val="20"/>
        </w:rPr>
        <w:t xml:space="preserve"> FMC Act, sch 5 cl 8(b).</w:t>
      </w:r>
    </w:p>
  </w:footnote>
  <w:footnote w:id="123">
    <w:p w14:paraId="34984E36" w14:textId="77777777" w:rsidR="00A71428" w:rsidRDefault="00000000">
      <w:pPr>
        <w:spacing w:line="240" w:lineRule="auto"/>
        <w:rPr>
          <w:sz w:val="20"/>
          <w:szCs w:val="20"/>
        </w:rPr>
      </w:pPr>
      <w:r>
        <w:rPr>
          <w:rStyle w:val="FootnoteReference"/>
        </w:rPr>
        <w:footnoteRef/>
      </w:r>
      <w:r>
        <w:rPr>
          <w:sz w:val="20"/>
          <w:szCs w:val="20"/>
        </w:rPr>
        <w:t xml:space="preserve"> Education Act 1989, s 159. This act has been repealed and replaced by the Education and Training Act 2020 which does not include a definition for “lecturer”.</w:t>
      </w:r>
    </w:p>
  </w:footnote>
  <w:footnote w:id="124">
    <w:p w14:paraId="51FD3DFB" w14:textId="77777777" w:rsidR="00A71428" w:rsidRDefault="00000000">
      <w:pPr>
        <w:spacing w:line="240" w:lineRule="auto"/>
        <w:rPr>
          <w:sz w:val="20"/>
          <w:szCs w:val="20"/>
        </w:rPr>
      </w:pPr>
      <w:r>
        <w:rPr>
          <w:rStyle w:val="FootnoteReference"/>
        </w:rPr>
        <w:footnoteRef/>
      </w:r>
      <w:r>
        <w:rPr>
          <w:sz w:val="20"/>
          <w:szCs w:val="20"/>
        </w:rPr>
        <w:t xml:space="preserve"> Definition of “teacher” in s 10.</w:t>
      </w:r>
    </w:p>
  </w:footnote>
  <w:footnote w:id="125">
    <w:p w14:paraId="7B3F9C89" w14:textId="77777777" w:rsidR="00A71428" w:rsidRDefault="00000000">
      <w:pPr>
        <w:spacing w:line="240" w:lineRule="auto"/>
        <w:rPr>
          <w:sz w:val="20"/>
          <w:szCs w:val="20"/>
        </w:rPr>
      </w:pPr>
      <w:r>
        <w:rPr>
          <w:rStyle w:val="FootnoteReference"/>
        </w:rPr>
        <w:footnoteRef/>
      </w:r>
      <w:r>
        <w:rPr>
          <w:sz w:val="20"/>
          <w:szCs w:val="20"/>
        </w:rPr>
        <w:t xml:space="preserve"> For an excellent extended discussion on this exclusion, see Yang, above n 106, at 494–498.</w:t>
      </w:r>
    </w:p>
  </w:footnote>
  <w:footnote w:id="126">
    <w:p w14:paraId="52652DE7" w14:textId="77777777" w:rsidR="00A71428" w:rsidRDefault="00000000">
      <w:pPr>
        <w:spacing w:line="240" w:lineRule="auto"/>
        <w:rPr>
          <w:sz w:val="20"/>
          <w:szCs w:val="20"/>
        </w:rPr>
      </w:pPr>
      <w:r>
        <w:rPr>
          <w:rStyle w:val="FootnoteReference"/>
        </w:rPr>
        <w:footnoteRef/>
      </w:r>
      <w:r>
        <w:rPr>
          <w:sz w:val="20"/>
          <w:szCs w:val="20"/>
        </w:rPr>
        <w:t xml:space="preserve"> FMA Guide, n 4.</w:t>
      </w:r>
    </w:p>
  </w:footnote>
  <w:footnote w:id="127">
    <w:p w14:paraId="0E9ED39C" w14:textId="77777777" w:rsidR="00A71428" w:rsidRDefault="00000000">
      <w:pPr>
        <w:spacing w:line="240" w:lineRule="auto"/>
        <w:jc w:val="left"/>
        <w:rPr>
          <w:sz w:val="20"/>
          <w:szCs w:val="20"/>
        </w:rPr>
      </w:pPr>
      <w:r>
        <w:rPr>
          <w:rStyle w:val="FootnoteReference"/>
        </w:rPr>
        <w:footnoteRef/>
      </w:r>
      <w:r>
        <w:rPr>
          <w:sz w:val="20"/>
          <w:szCs w:val="20"/>
        </w:rPr>
        <w:t xml:space="preserve"> Section 10(2) (repealed). </w:t>
      </w:r>
    </w:p>
  </w:footnote>
  <w:footnote w:id="128">
    <w:p w14:paraId="7E28AF3B" w14:textId="77777777" w:rsidR="00A71428" w:rsidRDefault="00000000">
      <w:pPr>
        <w:spacing w:line="240" w:lineRule="auto"/>
        <w:rPr>
          <w:sz w:val="20"/>
          <w:szCs w:val="20"/>
        </w:rPr>
      </w:pPr>
      <w:r>
        <w:rPr>
          <w:rStyle w:val="FootnoteReference"/>
        </w:rPr>
        <w:footnoteRef/>
      </w:r>
      <w:r>
        <w:rPr>
          <w:sz w:val="20"/>
          <w:szCs w:val="20"/>
        </w:rPr>
        <w:t xml:space="preserve"> Yang, above n 106, at 498.</w:t>
      </w:r>
    </w:p>
  </w:footnote>
  <w:footnote w:id="129">
    <w:p w14:paraId="79D76709" w14:textId="77777777" w:rsidR="00A71428" w:rsidRDefault="00000000">
      <w:pPr>
        <w:spacing w:line="240" w:lineRule="auto"/>
        <w:rPr>
          <w:sz w:val="20"/>
          <w:szCs w:val="20"/>
        </w:rPr>
      </w:pPr>
      <w:r>
        <w:rPr>
          <w:rStyle w:val="FootnoteReference"/>
        </w:rPr>
        <w:footnoteRef/>
      </w:r>
      <w:r>
        <w:rPr>
          <w:sz w:val="20"/>
          <w:szCs w:val="20"/>
        </w:rPr>
        <w:t xml:space="preserve"> Aleks Vickovich “Finfluencers: BNPL ads more dangerous than us” </w:t>
      </w:r>
      <w:r>
        <w:rPr>
          <w:i/>
          <w:iCs/>
          <w:sz w:val="20"/>
          <w:szCs w:val="20"/>
        </w:rPr>
        <w:t>Australian Financial Review</w:t>
      </w:r>
      <w:r>
        <w:rPr>
          <w:sz w:val="20"/>
          <w:szCs w:val="20"/>
        </w:rPr>
        <w:t xml:space="preserve"> (15 November 2021).</w:t>
      </w:r>
    </w:p>
  </w:footnote>
  <w:footnote w:id="130">
    <w:p w14:paraId="5798C72B" w14:textId="77777777" w:rsidR="00A71428" w:rsidRDefault="00000000">
      <w:pPr>
        <w:spacing w:line="240" w:lineRule="auto"/>
        <w:rPr>
          <w:sz w:val="20"/>
          <w:szCs w:val="20"/>
        </w:rPr>
      </w:pPr>
      <w:r>
        <w:rPr>
          <w:rStyle w:val="FootnoteReference"/>
        </w:rPr>
        <w:footnoteRef/>
      </w:r>
      <w:r>
        <w:rPr>
          <w:sz w:val="20"/>
          <w:szCs w:val="20"/>
        </w:rPr>
        <w:t xml:space="preserve"> Aleks Vickovich “Finfluencers’ bid early goodbye after private ASIC briefing” </w:t>
      </w:r>
      <w:r>
        <w:rPr>
          <w:i/>
          <w:iCs/>
          <w:sz w:val="20"/>
          <w:szCs w:val="20"/>
        </w:rPr>
        <w:t>Australian Financial Review</w:t>
      </w:r>
      <w:r>
        <w:rPr>
          <w:sz w:val="20"/>
          <w:szCs w:val="20"/>
        </w:rPr>
        <w:t xml:space="preserve"> (1 April 2022).</w:t>
      </w:r>
    </w:p>
  </w:footnote>
  <w:footnote w:id="131">
    <w:p w14:paraId="1B1DA30D" w14:textId="77777777" w:rsidR="00A71428" w:rsidRDefault="00000000">
      <w:pPr>
        <w:spacing w:line="240" w:lineRule="auto"/>
        <w:rPr>
          <w:sz w:val="20"/>
          <w:szCs w:val="20"/>
        </w:rPr>
      </w:pPr>
      <w:r>
        <w:rPr>
          <w:rStyle w:val="FootnoteReference"/>
        </w:rPr>
        <w:footnoteRef/>
      </w:r>
      <w:r>
        <w:rPr>
          <w:sz w:val="20"/>
          <w:szCs w:val="20"/>
        </w:rPr>
        <w:t xml:space="preserve"> Above n 130.</w:t>
      </w:r>
    </w:p>
  </w:footnote>
  <w:footnote w:id="132">
    <w:p w14:paraId="5B04E8D0" w14:textId="77777777" w:rsidR="00A71428" w:rsidRDefault="00000000">
      <w:pPr>
        <w:spacing w:line="240" w:lineRule="auto"/>
        <w:rPr>
          <w:sz w:val="20"/>
          <w:szCs w:val="20"/>
        </w:rPr>
      </w:pPr>
      <w:r>
        <w:rPr>
          <w:rStyle w:val="FootnoteReference"/>
        </w:rPr>
        <w:footnoteRef/>
      </w:r>
      <w:r>
        <w:rPr>
          <w:i/>
          <w:iCs/>
          <w:sz w:val="20"/>
          <w:szCs w:val="20"/>
        </w:rPr>
        <w:t xml:space="preserve"> </w:t>
      </w:r>
      <w:r>
        <w:rPr>
          <w:sz w:val="20"/>
          <w:szCs w:val="20"/>
        </w:rPr>
        <w:t>At [132]</w:t>
      </w:r>
      <w:r>
        <w:t>–</w:t>
      </w:r>
      <w:r>
        <w:rPr>
          <w:sz w:val="20"/>
          <w:szCs w:val="20"/>
        </w:rPr>
        <w:t>[148].</w:t>
      </w:r>
    </w:p>
  </w:footnote>
  <w:footnote w:id="133">
    <w:p w14:paraId="66644B27" w14:textId="77777777" w:rsidR="00A71428" w:rsidRDefault="00000000">
      <w:pPr>
        <w:spacing w:line="240" w:lineRule="auto"/>
        <w:rPr>
          <w:sz w:val="20"/>
          <w:szCs w:val="20"/>
        </w:rPr>
      </w:pPr>
      <w:r>
        <w:rPr>
          <w:rStyle w:val="FootnoteReference"/>
        </w:rPr>
        <w:footnoteRef/>
      </w:r>
      <w:r>
        <w:rPr>
          <w:sz w:val="20"/>
          <w:szCs w:val="20"/>
        </w:rPr>
        <w:t xml:space="preserve"> At [150].</w:t>
      </w:r>
    </w:p>
  </w:footnote>
  <w:footnote w:id="134">
    <w:p w14:paraId="30A3FDF9" w14:textId="77777777" w:rsidR="00A71428" w:rsidRDefault="00000000">
      <w:pPr>
        <w:spacing w:line="240" w:lineRule="auto"/>
        <w:rPr>
          <w:sz w:val="20"/>
          <w:szCs w:val="20"/>
        </w:rPr>
      </w:pPr>
      <w:r>
        <w:rPr>
          <w:rStyle w:val="FootnoteReference"/>
        </w:rPr>
        <w:footnoteRef/>
      </w:r>
      <w:r>
        <w:rPr>
          <w:sz w:val="20"/>
          <w:szCs w:val="20"/>
        </w:rPr>
        <w:t xml:space="preserve"> “Definition of viewer noun” Oxford Advanced Learner's Dictionary &lt;www.oxfordlearnersdictionaries.com&gt; </w:t>
      </w:r>
    </w:p>
  </w:footnote>
  <w:footnote w:id="135">
    <w:p w14:paraId="1E52F507" w14:textId="77777777" w:rsidR="00A71428" w:rsidRDefault="00000000">
      <w:pPr>
        <w:spacing w:line="240" w:lineRule="auto"/>
        <w:rPr>
          <w:sz w:val="20"/>
          <w:szCs w:val="20"/>
        </w:rPr>
      </w:pPr>
      <w:r>
        <w:rPr>
          <w:rStyle w:val="FootnoteReference"/>
        </w:rPr>
        <w:footnoteRef/>
      </w:r>
      <w:r>
        <w:rPr>
          <w:sz w:val="20"/>
          <w:szCs w:val="20"/>
        </w:rPr>
        <w:t xml:space="preserve"> “Definition of client noun” Oxford Advanced Learner's Dictionary &lt;www.oxfordlearnersdictionaries.com&gt; </w:t>
      </w:r>
    </w:p>
  </w:footnote>
  <w:footnote w:id="136">
    <w:p w14:paraId="6F8ED087" w14:textId="77777777" w:rsidR="00A71428" w:rsidRDefault="00000000">
      <w:pPr>
        <w:spacing w:line="240" w:lineRule="auto"/>
        <w:rPr>
          <w:sz w:val="20"/>
          <w:szCs w:val="20"/>
        </w:rPr>
      </w:pPr>
      <w:r>
        <w:rPr>
          <w:rStyle w:val="FootnoteReference"/>
        </w:rPr>
        <w:footnoteRef/>
      </w:r>
      <w:r>
        <w:rPr>
          <w:sz w:val="20"/>
          <w:szCs w:val="20"/>
        </w:rPr>
        <w:t xml:space="preserve"> FMC Act, s 387(1).</w:t>
      </w:r>
    </w:p>
  </w:footnote>
  <w:footnote w:id="137">
    <w:p w14:paraId="54E2B3B8" w14:textId="77777777" w:rsidR="00A71428" w:rsidRDefault="00000000">
      <w:pPr>
        <w:spacing w:line="240" w:lineRule="auto"/>
        <w:rPr>
          <w:sz w:val="20"/>
          <w:szCs w:val="20"/>
        </w:rPr>
      </w:pPr>
      <w:r>
        <w:rPr>
          <w:rStyle w:val="FootnoteReference"/>
        </w:rPr>
        <w:footnoteRef/>
      </w:r>
      <w:r>
        <w:rPr>
          <w:sz w:val="20"/>
          <w:szCs w:val="20"/>
        </w:rPr>
        <w:t xml:space="preserve"> Victoria Stace "Mis-selling financial products: when can the customer claim in negligence" (2016) JBL 6 517 at 529.</w:t>
      </w:r>
    </w:p>
  </w:footnote>
  <w:footnote w:id="138">
    <w:p w14:paraId="18156A3F" w14:textId="77777777" w:rsidR="00A71428" w:rsidRDefault="00000000">
      <w:pPr>
        <w:spacing w:line="240" w:lineRule="auto"/>
        <w:rPr>
          <w:sz w:val="20"/>
          <w:szCs w:val="20"/>
        </w:rPr>
      </w:pPr>
      <w:r>
        <w:rPr>
          <w:rStyle w:val="FootnoteReference"/>
        </w:rPr>
        <w:footnoteRef/>
      </w:r>
      <w:r>
        <w:rPr>
          <w:sz w:val="20"/>
          <w:szCs w:val="20"/>
        </w:rPr>
        <w:t xml:space="preserve"> </w:t>
      </w:r>
      <w:r>
        <w:rPr>
          <w:i/>
          <w:iCs/>
          <w:sz w:val="20"/>
          <w:szCs w:val="20"/>
        </w:rPr>
        <w:t>Caparo Industries PLC v Dickman</w:t>
      </w:r>
      <w:r>
        <w:rPr>
          <w:sz w:val="20"/>
          <w:szCs w:val="20"/>
        </w:rPr>
        <w:t xml:space="preserve"> [1990] UKHL 2.</w:t>
      </w:r>
    </w:p>
  </w:footnote>
  <w:footnote w:id="139">
    <w:p w14:paraId="0899A28B" w14:textId="77777777" w:rsidR="00A71428" w:rsidRDefault="00000000">
      <w:pPr>
        <w:spacing w:line="240" w:lineRule="auto"/>
        <w:rPr>
          <w:sz w:val="20"/>
          <w:szCs w:val="20"/>
        </w:rPr>
      </w:pPr>
      <w:r>
        <w:rPr>
          <w:rStyle w:val="FootnoteReference"/>
        </w:rPr>
        <w:footnoteRef/>
      </w:r>
      <w:r>
        <w:rPr>
          <w:sz w:val="20"/>
          <w:szCs w:val="20"/>
        </w:rPr>
        <w:t xml:space="preserve"> </w:t>
      </w:r>
      <w:r>
        <w:rPr>
          <w:i/>
          <w:iCs/>
          <w:sz w:val="20"/>
          <w:szCs w:val="20"/>
        </w:rPr>
        <w:t>Crestsign Ltd v National Westminster Bank Plc</w:t>
      </w:r>
      <w:r>
        <w:rPr>
          <w:sz w:val="20"/>
          <w:szCs w:val="20"/>
        </w:rPr>
        <w:t xml:space="preserve"> [2014] EWHC 3043 cited in Stace "Mis-selling financial products”, above n 137 at 529.</w:t>
      </w:r>
    </w:p>
  </w:footnote>
  <w:footnote w:id="140">
    <w:p w14:paraId="08FD760E" w14:textId="77777777" w:rsidR="00A71428" w:rsidRDefault="00000000">
      <w:pPr>
        <w:spacing w:line="240" w:lineRule="auto"/>
        <w:rPr>
          <w:sz w:val="20"/>
          <w:szCs w:val="20"/>
        </w:rPr>
      </w:pPr>
      <w:r>
        <w:rPr>
          <w:rStyle w:val="FootnoteReference"/>
        </w:rPr>
        <w:footnoteRef/>
      </w:r>
      <w:r>
        <w:rPr>
          <w:sz w:val="20"/>
          <w:szCs w:val="20"/>
        </w:rPr>
        <w:t xml:space="preserve"> Investors faced difficulties in demonstrating reliance when bringing a cause of action against celebrity promoters of EthereumMax in </w:t>
      </w:r>
      <w:r>
        <w:rPr>
          <w:i/>
          <w:iCs/>
          <w:sz w:val="20"/>
          <w:szCs w:val="20"/>
        </w:rPr>
        <w:t>In Re Ethereummax Investor Litigation</w:t>
      </w:r>
      <w:r>
        <w:rPr>
          <w:sz w:val="20"/>
          <w:szCs w:val="20"/>
        </w:rPr>
        <w:t xml:space="preserve"> 2 22-cv-00163 (CD Cal 2025) at 42 and 75. Negligence in Californian and New Zealand law are largely similar; both being derived from English common law. </w:t>
      </w:r>
    </w:p>
  </w:footnote>
  <w:footnote w:id="141">
    <w:p w14:paraId="7EA6BC77" w14:textId="77777777" w:rsidR="00A71428" w:rsidRDefault="00000000">
      <w:pPr>
        <w:spacing w:line="240" w:lineRule="auto"/>
        <w:rPr>
          <w:sz w:val="20"/>
          <w:szCs w:val="20"/>
        </w:rPr>
      </w:pPr>
      <w:r>
        <w:rPr>
          <w:rStyle w:val="FootnoteReference"/>
        </w:rPr>
        <w:footnoteRef/>
      </w:r>
      <w:r>
        <w:rPr>
          <w:sz w:val="20"/>
          <w:szCs w:val="20"/>
        </w:rPr>
        <w:t xml:space="preserve"> Section 431H(1).</w:t>
      </w:r>
    </w:p>
  </w:footnote>
  <w:footnote w:id="142">
    <w:p w14:paraId="5D992913" w14:textId="77777777" w:rsidR="00A71428" w:rsidRDefault="00000000">
      <w:pPr>
        <w:spacing w:line="240" w:lineRule="auto"/>
        <w:rPr>
          <w:sz w:val="20"/>
          <w:szCs w:val="20"/>
        </w:rPr>
      </w:pPr>
      <w:r>
        <w:rPr>
          <w:rStyle w:val="FootnoteReference"/>
        </w:rPr>
        <w:footnoteRef/>
      </w:r>
      <w:r>
        <w:rPr>
          <w:sz w:val="20"/>
          <w:szCs w:val="20"/>
        </w:rPr>
        <w:t xml:space="preserve"> Section 32(1). </w:t>
      </w:r>
    </w:p>
  </w:footnote>
  <w:footnote w:id="143">
    <w:p w14:paraId="57C9A3E1" w14:textId="77777777" w:rsidR="00A71428" w:rsidRDefault="00000000">
      <w:pPr>
        <w:spacing w:line="240" w:lineRule="auto"/>
        <w:rPr>
          <w:sz w:val="20"/>
          <w:szCs w:val="20"/>
        </w:rPr>
      </w:pPr>
      <w:r>
        <w:rPr>
          <w:rStyle w:val="FootnoteReference"/>
        </w:rPr>
        <w:footnoteRef/>
      </w:r>
      <w:r>
        <w:rPr>
          <w:sz w:val="20"/>
          <w:szCs w:val="20"/>
        </w:rPr>
        <w:t xml:space="preserve"> FMC Act, s 32. </w:t>
      </w:r>
    </w:p>
  </w:footnote>
  <w:footnote w:id="144">
    <w:p w14:paraId="6DA0D0BE" w14:textId="77777777" w:rsidR="00A71428" w:rsidRDefault="00000000">
      <w:pPr>
        <w:spacing w:line="240" w:lineRule="auto"/>
        <w:rPr>
          <w:sz w:val="20"/>
          <w:szCs w:val="20"/>
        </w:rPr>
      </w:pPr>
      <w:r>
        <w:rPr>
          <w:rStyle w:val="FootnoteReference"/>
        </w:rPr>
        <w:footnoteRef/>
      </w:r>
      <w:r>
        <w:rPr>
          <w:sz w:val="20"/>
          <w:szCs w:val="20"/>
        </w:rPr>
        <w:t xml:space="preserve"> FMC Act, s 431H(1). </w:t>
      </w:r>
    </w:p>
  </w:footnote>
  <w:footnote w:id="145">
    <w:p w14:paraId="4D74F957" w14:textId="77777777" w:rsidR="00A71428" w:rsidRDefault="00000000">
      <w:pPr>
        <w:spacing w:line="240" w:lineRule="auto"/>
        <w:rPr>
          <w:sz w:val="20"/>
          <w:szCs w:val="20"/>
        </w:rPr>
      </w:pPr>
      <w:r>
        <w:rPr>
          <w:rStyle w:val="FootnoteReference"/>
        </w:rPr>
        <w:footnoteRef/>
      </w:r>
      <w:r>
        <w:rPr>
          <w:sz w:val="20"/>
          <w:szCs w:val="20"/>
        </w:rPr>
        <w:t xml:space="preserve"> Mace “TikTok clock ticking for investment advice", above n 33.</w:t>
      </w:r>
    </w:p>
  </w:footnote>
  <w:footnote w:id="146">
    <w:p w14:paraId="1B8E633D" w14:textId="77777777" w:rsidR="00A71428" w:rsidRDefault="00000000">
      <w:pPr>
        <w:spacing w:line="240" w:lineRule="auto"/>
        <w:rPr>
          <w:sz w:val="20"/>
          <w:szCs w:val="20"/>
        </w:rPr>
      </w:pPr>
      <w:r>
        <w:rPr>
          <w:rStyle w:val="FootnoteReference"/>
        </w:rPr>
        <w:footnoteRef/>
      </w:r>
      <w:r>
        <w:rPr>
          <w:sz w:val="20"/>
          <w:szCs w:val="20"/>
        </w:rPr>
        <w:t xml:space="preserve"> Financial Markets Conduct Regulations 2014 rr 229A to 229J. </w:t>
      </w:r>
    </w:p>
  </w:footnote>
  <w:footnote w:id="147">
    <w:p w14:paraId="4081CC77" w14:textId="77777777" w:rsidR="00A71428" w:rsidRDefault="00000000">
      <w:pPr>
        <w:spacing w:line="240" w:lineRule="auto"/>
        <w:rPr>
          <w:sz w:val="20"/>
          <w:szCs w:val="20"/>
        </w:rPr>
      </w:pPr>
      <w:r>
        <w:rPr>
          <w:rStyle w:val="FootnoteReference"/>
        </w:rPr>
        <w:footnoteRef/>
      </w:r>
      <w:r>
        <w:rPr>
          <w:sz w:val="20"/>
          <w:szCs w:val="20"/>
        </w:rPr>
        <w:t xml:space="preserve"> Advertising Standards Code, r 2(a).</w:t>
      </w:r>
    </w:p>
  </w:footnote>
  <w:footnote w:id="148">
    <w:p w14:paraId="4E8DB8A3" w14:textId="77777777" w:rsidR="00A71428" w:rsidRDefault="00000000">
      <w:pPr>
        <w:spacing w:line="240" w:lineRule="auto"/>
        <w:rPr>
          <w:sz w:val="20"/>
          <w:szCs w:val="20"/>
        </w:rPr>
      </w:pPr>
      <w:r>
        <w:rPr>
          <w:rStyle w:val="FootnoteReference"/>
        </w:rPr>
        <w:footnoteRef/>
      </w:r>
      <w:r>
        <w:rPr>
          <w:sz w:val="20"/>
          <w:szCs w:val="20"/>
        </w:rPr>
        <w:t xml:space="preserve"> Financial Markets Authority </w:t>
      </w:r>
      <w:r>
        <w:rPr>
          <w:i/>
          <w:iCs/>
          <w:sz w:val="20"/>
          <w:szCs w:val="20"/>
        </w:rPr>
        <w:t xml:space="preserve">The Code of Professional Conduct for Financial Advice Services </w:t>
      </w:r>
      <w:r>
        <w:rPr>
          <w:sz w:val="20"/>
          <w:szCs w:val="20"/>
        </w:rPr>
        <w:t>[FMA Code of Professional Conduct] (1 November 2025) at 3.</w:t>
      </w:r>
    </w:p>
  </w:footnote>
  <w:footnote w:id="149">
    <w:p w14:paraId="2DF12307" w14:textId="77777777" w:rsidR="00A71428" w:rsidRDefault="00000000">
      <w:pPr>
        <w:spacing w:line="240" w:lineRule="auto"/>
        <w:rPr>
          <w:sz w:val="20"/>
          <w:szCs w:val="20"/>
        </w:rPr>
      </w:pPr>
      <w:r>
        <w:rPr>
          <w:rStyle w:val="FootnoteReference"/>
        </w:rPr>
        <w:footnoteRef/>
      </w:r>
      <w:r>
        <w:rPr>
          <w:sz w:val="20"/>
          <w:szCs w:val="20"/>
        </w:rPr>
        <w:t xml:space="preserve"> Stace "Mis-selling financial products”, above n 137, at 521.</w:t>
      </w:r>
    </w:p>
  </w:footnote>
  <w:footnote w:id="150">
    <w:p w14:paraId="16D986E8" w14:textId="77777777" w:rsidR="00A71428" w:rsidRDefault="00000000">
      <w:pPr>
        <w:spacing w:line="240" w:lineRule="auto"/>
        <w:rPr>
          <w:sz w:val="20"/>
          <w:szCs w:val="20"/>
        </w:rPr>
      </w:pPr>
      <w:r>
        <w:rPr>
          <w:rStyle w:val="FootnoteReference"/>
        </w:rPr>
        <w:footnoteRef/>
      </w:r>
      <w:r>
        <w:rPr>
          <w:sz w:val="20"/>
          <w:szCs w:val="20"/>
        </w:rPr>
        <w:t xml:space="preserve"> At 522.</w:t>
      </w:r>
    </w:p>
  </w:footnote>
  <w:footnote w:id="151">
    <w:p w14:paraId="32193113" w14:textId="77777777" w:rsidR="00A71428" w:rsidRDefault="00000000">
      <w:pPr>
        <w:spacing w:line="240" w:lineRule="auto"/>
        <w:jc w:val="left"/>
        <w:rPr>
          <w:sz w:val="20"/>
          <w:szCs w:val="20"/>
        </w:rPr>
      </w:pPr>
      <w:r>
        <w:rPr>
          <w:rStyle w:val="FootnoteReference"/>
        </w:rPr>
        <w:footnoteRef/>
      </w:r>
      <w:r>
        <w:rPr>
          <w:sz w:val="20"/>
          <w:szCs w:val="20"/>
        </w:rPr>
        <w:t xml:space="preserve"> Financial Markets Authority </w:t>
      </w:r>
      <w:r>
        <w:rPr>
          <w:i/>
          <w:iCs/>
          <w:sz w:val="20"/>
          <w:szCs w:val="20"/>
        </w:rPr>
        <w:t>Guide to Financial Advice Provider licence requirements and application kit</w:t>
      </w:r>
      <w:r>
        <w:rPr>
          <w:sz w:val="20"/>
          <w:szCs w:val="20"/>
        </w:rPr>
        <w:t xml:space="preserve"> (March 2023) at 18, cited in Stace "Mis-selling financial products”, above n 137 at 581.</w:t>
      </w:r>
    </w:p>
  </w:footnote>
  <w:footnote w:id="152">
    <w:p w14:paraId="0B7C61A0" w14:textId="77777777" w:rsidR="00A71428" w:rsidRDefault="00000000">
      <w:pPr>
        <w:spacing w:line="240" w:lineRule="auto"/>
        <w:jc w:val="left"/>
        <w:rPr>
          <w:sz w:val="20"/>
          <w:szCs w:val="20"/>
        </w:rPr>
      </w:pPr>
      <w:r>
        <w:rPr>
          <w:rStyle w:val="FootnoteReference"/>
        </w:rPr>
        <w:footnoteRef/>
      </w:r>
      <w:r>
        <w:rPr>
          <w:sz w:val="20"/>
          <w:szCs w:val="20"/>
        </w:rPr>
        <w:t xml:space="preserve"> Financial Markets Authority (Levies) Amendment Regulations (No 2) 2020, sch 3. </w:t>
      </w:r>
    </w:p>
  </w:footnote>
  <w:footnote w:id="153">
    <w:p w14:paraId="3DB9E1AF" w14:textId="77777777" w:rsidR="00A71428" w:rsidRDefault="00000000">
      <w:pPr>
        <w:spacing w:line="240" w:lineRule="auto"/>
        <w:jc w:val="left"/>
        <w:rPr>
          <w:sz w:val="20"/>
          <w:szCs w:val="20"/>
        </w:rPr>
      </w:pPr>
      <w:r>
        <w:rPr>
          <w:rStyle w:val="FootnoteReference"/>
        </w:rPr>
        <w:footnoteRef/>
      </w:r>
      <w:r>
        <w:rPr>
          <w:sz w:val="20"/>
          <w:szCs w:val="20"/>
        </w:rPr>
        <w:t xml:space="preserve"> FMC Act, s 431B.</w:t>
      </w:r>
    </w:p>
  </w:footnote>
  <w:footnote w:id="154">
    <w:p w14:paraId="1F13D702" w14:textId="77777777" w:rsidR="00A71428" w:rsidRDefault="00000000">
      <w:pPr>
        <w:spacing w:line="240" w:lineRule="auto"/>
        <w:rPr>
          <w:sz w:val="20"/>
          <w:szCs w:val="20"/>
        </w:rPr>
      </w:pPr>
      <w:r>
        <w:rPr>
          <w:rStyle w:val="FootnoteReference"/>
        </w:rPr>
        <w:footnoteRef/>
      </w:r>
      <w:r>
        <w:rPr>
          <w:sz w:val="20"/>
          <w:szCs w:val="20"/>
        </w:rPr>
        <w:t xml:space="preserve"> Financial Services Council of New Zealand </w:t>
      </w:r>
      <w:r>
        <w:rPr>
          <w:i/>
          <w:iCs/>
          <w:sz w:val="20"/>
          <w:szCs w:val="20"/>
        </w:rPr>
        <w:t>Money &amp; You: The Rise of the Digital Investor</w:t>
      </w:r>
      <w:r>
        <w:rPr>
          <w:sz w:val="20"/>
          <w:szCs w:val="20"/>
        </w:rPr>
        <w:t xml:space="preserve"> (June 2021) at 4, cited in Yang, above n 106, at 476.</w:t>
      </w:r>
    </w:p>
  </w:footnote>
  <w:footnote w:id="155">
    <w:p w14:paraId="572C38CC" w14:textId="77777777" w:rsidR="00A71428" w:rsidRDefault="00000000">
      <w:pPr>
        <w:spacing w:line="240" w:lineRule="auto"/>
        <w:rPr>
          <w:sz w:val="20"/>
          <w:szCs w:val="20"/>
        </w:rPr>
      </w:pPr>
      <w:r>
        <w:rPr>
          <w:rStyle w:val="FootnoteReference"/>
        </w:rPr>
        <w:footnoteRef/>
      </w:r>
      <w:r>
        <w:rPr>
          <w:sz w:val="20"/>
          <w:szCs w:val="20"/>
        </w:rPr>
        <w:t xml:space="preserve"> FMC Act, Part 2.</w:t>
      </w:r>
    </w:p>
  </w:footnote>
  <w:footnote w:id="156">
    <w:p w14:paraId="568BD87A" w14:textId="77777777" w:rsidR="00A71428" w:rsidRDefault="00000000">
      <w:pPr>
        <w:spacing w:line="240" w:lineRule="auto"/>
        <w:rPr>
          <w:sz w:val="20"/>
          <w:szCs w:val="20"/>
        </w:rPr>
      </w:pPr>
      <w:r>
        <w:rPr>
          <w:rStyle w:val="FootnoteReference"/>
        </w:rPr>
        <w:footnoteRef/>
      </w:r>
      <w:r>
        <w:rPr>
          <w:sz w:val="20"/>
          <w:szCs w:val="20"/>
        </w:rPr>
        <w:t xml:space="preserve"> Fair Trading Act 1986, s 2(1).</w:t>
      </w:r>
    </w:p>
  </w:footnote>
  <w:footnote w:id="157">
    <w:p w14:paraId="4DFCAF83" w14:textId="77777777" w:rsidR="00A71428" w:rsidRDefault="00000000">
      <w:pPr>
        <w:spacing w:line="240" w:lineRule="auto"/>
        <w:rPr>
          <w:sz w:val="20"/>
          <w:szCs w:val="20"/>
        </w:rPr>
      </w:pPr>
      <w:r>
        <w:rPr>
          <w:rStyle w:val="FootnoteReference"/>
        </w:rPr>
        <w:footnoteRef/>
      </w:r>
      <w:r>
        <w:rPr>
          <w:sz w:val="20"/>
          <w:szCs w:val="20"/>
        </w:rPr>
        <w:t xml:space="preserve"> </w:t>
      </w:r>
      <w:r>
        <w:rPr>
          <w:i/>
          <w:iCs/>
          <w:sz w:val="20"/>
          <w:szCs w:val="20"/>
        </w:rPr>
        <w:t>Concrete Constructions (NSW) Pty Ltd v Nelson</w:t>
      </w:r>
      <w:r>
        <w:rPr>
          <w:sz w:val="20"/>
          <w:szCs w:val="20"/>
        </w:rPr>
        <w:t xml:space="preserve"> [1990] 169 CLR 594 at 604; cited in Hoeft, above n 35, at 216.</w:t>
      </w:r>
    </w:p>
  </w:footnote>
  <w:footnote w:id="158">
    <w:p w14:paraId="71E623B5" w14:textId="77777777" w:rsidR="00A71428" w:rsidRDefault="00000000">
      <w:pPr>
        <w:spacing w:line="240" w:lineRule="auto"/>
        <w:rPr>
          <w:sz w:val="20"/>
          <w:szCs w:val="20"/>
        </w:rPr>
      </w:pPr>
      <w:r>
        <w:rPr>
          <w:rStyle w:val="FootnoteReference"/>
        </w:rPr>
        <w:footnoteRef/>
      </w:r>
      <w:r>
        <w:rPr>
          <w:sz w:val="20"/>
          <w:szCs w:val="20"/>
        </w:rPr>
        <w:t xml:space="preserve"> FMC Act, s 38.</w:t>
      </w:r>
    </w:p>
  </w:footnote>
  <w:footnote w:id="159">
    <w:p w14:paraId="24F4BEE8" w14:textId="77777777" w:rsidR="00A71428" w:rsidRDefault="00000000">
      <w:pPr>
        <w:spacing w:line="240" w:lineRule="auto"/>
        <w:rPr>
          <w:sz w:val="20"/>
          <w:szCs w:val="20"/>
        </w:rPr>
      </w:pPr>
      <w:r>
        <w:rPr>
          <w:rStyle w:val="FootnoteReference"/>
        </w:rPr>
        <w:footnoteRef/>
      </w:r>
      <w:r>
        <w:rPr>
          <w:sz w:val="20"/>
          <w:szCs w:val="20"/>
        </w:rPr>
        <w:t xml:space="preserve"> The other Codes are Alcohol, Children, Food and Beverages, Gambling and Therapeutic Products and Services; ASA “About Us” &lt;www.asa.co.nz&gt;</w:t>
      </w:r>
    </w:p>
  </w:footnote>
  <w:footnote w:id="160">
    <w:p w14:paraId="5C4C9030" w14:textId="77777777" w:rsidR="00A71428" w:rsidRDefault="00000000">
      <w:pPr>
        <w:spacing w:line="240" w:lineRule="auto"/>
        <w:rPr>
          <w:sz w:val="20"/>
          <w:szCs w:val="20"/>
        </w:rPr>
      </w:pPr>
      <w:r>
        <w:rPr>
          <w:rStyle w:val="FootnoteReference"/>
        </w:rPr>
        <w:footnoteRef/>
      </w:r>
      <w:r>
        <w:rPr>
          <w:sz w:val="20"/>
          <w:szCs w:val="20"/>
        </w:rPr>
        <w:t xml:space="preserve"> ASA </w:t>
      </w:r>
      <w:r>
        <w:rPr>
          <w:i/>
          <w:iCs/>
          <w:sz w:val="20"/>
          <w:szCs w:val="20"/>
        </w:rPr>
        <w:t>Guidance Note on Identification of Advertisements</w:t>
      </w:r>
      <w:r>
        <w:rPr>
          <w:sz w:val="20"/>
          <w:szCs w:val="20"/>
        </w:rPr>
        <w:t xml:space="preserve"> (February 2025). </w:t>
      </w:r>
    </w:p>
  </w:footnote>
  <w:footnote w:id="161">
    <w:p w14:paraId="00446D57" w14:textId="77777777" w:rsidR="00A71428" w:rsidRDefault="00000000">
      <w:pPr>
        <w:spacing w:line="240" w:lineRule="auto"/>
        <w:rPr>
          <w:sz w:val="20"/>
          <w:szCs w:val="20"/>
        </w:rPr>
      </w:pPr>
      <w:r>
        <w:rPr>
          <w:rStyle w:val="FootnoteReference"/>
        </w:rPr>
        <w:footnoteRef/>
      </w:r>
      <w:r>
        <w:rPr>
          <w:sz w:val="20"/>
          <w:szCs w:val="20"/>
        </w:rPr>
        <w:t xml:space="preserve"> FMC Act, s 431C.</w:t>
      </w:r>
    </w:p>
  </w:footnote>
  <w:footnote w:id="162">
    <w:p w14:paraId="5C23454C" w14:textId="77777777" w:rsidR="00A71428" w:rsidRDefault="00000000">
      <w:pPr>
        <w:spacing w:line="240" w:lineRule="auto"/>
        <w:rPr>
          <w:sz w:val="20"/>
          <w:szCs w:val="20"/>
        </w:rPr>
      </w:pPr>
      <w:r>
        <w:rPr>
          <w:rStyle w:val="FootnoteReference"/>
        </w:rPr>
        <w:footnoteRef/>
      </w:r>
      <w:r>
        <w:rPr>
          <w:sz w:val="20"/>
          <w:szCs w:val="20"/>
        </w:rPr>
        <w:t xml:space="preserve"> Advertising Standards Code r 2(a); and Hoeft, above n 35.</w:t>
      </w:r>
    </w:p>
  </w:footnote>
  <w:footnote w:id="163">
    <w:p w14:paraId="50265245" w14:textId="77777777" w:rsidR="00A71428" w:rsidRDefault="00000000">
      <w:pPr>
        <w:spacing w:line="240" w:lineRule="auto"/>
        <w:rPr>
          <w:sz w:val="20"/>
          <w:szCs w:val="20"/>
        </w:rPr>
      </w:pPr>
      <w:r>
        <w:rPr>
          <w:rStyle w:val="FootnoteReference"/>
        </w:rPr>
        <w:footnoteRef/>
      </w:r>
      <w:r>
        <w:rPr>
          <w:sz w:val="20"/>
          <w:szCs w:val="20"/>
        </w:rPr>
        <w:t xml:space="preserve">ASA </w:t>
      </w:r>
      <w:r>
        <w:rPr>
          <w:i/>
          <w:iCs/>
          <w:sz w:val="20"/>
          <w:szCs w:val="20"/>
        </w:rPr>
        <w:t>Financial Advertising Code</w:t>
      </w:r>
      <w:r>
        <w:rPr>
          <w:sz w:val="20"/>
          <w:szCs w:val="20"/>
        </w:rPr>
        <w:t xml:space="preserve"> [ASA Finance Code] (1 March 2022) at 11.</w:t>
      </w:r>
    </w:p>
  </w:footnote>
  <w:footnote w:id="164">
    <w:p w14:paraId="692F0B3D" w14:textId="77777777" w:rsidR="00A71428" w:rsidRDefault="00000000">
      <w:pPr>
        <w:spacing w:line="240" w:lineRule="auto"/>
        <w:rPr>
          <w:sz w:val="20"/>
          <w:szCs w:val="20"/>
        </w:rPr>
      </w:pPr>
      <w:r>
        <w:rPr>
          <w:rStyle w:val="FootnoteReference"/>
        </w:rPr>
        <w:footnoteRef/>
      </w:r>
      <w:r>
        <w:rPr>
          <w:sz w:val="20"/>
          <w:szCs w:val="20"/>
        </w:rPr>
        <w:t xml:space="preserve"> The Financial Advertising Code is supported by two overarching principles: truthful presentation and a sense of social responsibility: ASA Finance Code at 2.</w:t>
      </w:r>
    </w:p>
  </w:footnote>
  <w:footnote w:id="165">
    <w:p w14:paraId="4CCF0BC2" w14:textId="77777777" w:rsidR="00A71428" w:rsidRDefault="00000000">
      <w:pPr>
        <w:spacing w:line="240" w:lineRule="auto"/>
        <w:rPr>
          <w:sz w:val="20"/>
          <w:szCs w:val="20"/>
        </w:rPr>
      </w:pPr>
      <w:r>
        <w:rPr>
          <w:rStyle w:val="FootnoteReference"/>
        </w:rPr>
        <w:footnoteRef/>
      </w:r>
      <w:r>
        <w:rPr>
          <w:sz w:val="20"/>
          <w:szCs w:val="20"/>
        </w:rPr>
        <w:t xml:space="preserve"> See ASA “24/138 Informed Investor Instagram” (25 July 2024).</w:t>
      </w:r>
    </w:p>
  </w:footnote>
  <w:footnote w:id="166">
    <w:p w14:paraId="3E030132" w14:textId="77777777" w:rsidR="00A71428" w:rsidRDefault="00000000">
      <w:pPr>
        <w:spacing w:line="240" w:lineRule="auto"/>
        <w:rPr>
          <w:sz w:val="20"/>
          <w:szCs w:val="20"/>
        </w:rPr>
      </w:pPr>
      <w:r>
        <w:rPr>
          <w:rStyle w:val="FootnoteReference"/>
        </w:rPr>
        <w:footnoteRef/>
      </w:r>
      <w:r>
        <w:rPr>
          <w:sz w:val="20"/>
          <w:szCs w:val="20"/>
        </w:rPr>
        <w:t xml:space="preserve"> Andrew Bevin “'Illegal' TV gambling ads difficult to address” </w:t>
      </w:r>
      <w:r>
        <w:rPr>
          <w:i/>
          <w:iCs/>
          <w:sz w:val="20"/>
          <w:szCs w:val="20"/>
        </w:rPr>
        <w:t>Newsroom</w:t>
      </w:r>
      <w:r>
        <w:rPr>
          <w:sz w:val="20"/>
          <w:szCs w:val="20"/>
        </w:rPr>
        <w:t xml:space="preserve"> (Auckland, 14 September 2023).</w:t>
      </w:r>
    </w:p>
  </w:footnote>
  <w:footnote w:id="167">
    <w:p w14:paraId="1451AE56" w14:textId="77777777" w:rsidR="00A71428" w:rsidRDefault="00000000">
      <w:pPr>
        <w:spacing w:line="240" w:lineRule="auto"/>
        <w:rPr>
          <w:sz w:val="20"/>
          <w:szCs w:val="20"/>
        </w:rPr>
      </w:pPr>
      <w:r>
        <w:rPr>
          <w:rStyle w:val="FootnoteReference"/>
        </w:rPr>
        <w:footnoteRef/>
      </w:r>
      <w:r>
        <w:rPr>
          <w:sz w:val="20"/>
          <w:szCs w:val="20"/>
        </w:rPr>
        <w:t xml:space="preserve"> ASA “About Us” &lt;www.asa.co.nz&gt;</w:t>
      </w:r>
    </w:p>
  </w:footnote>
  <w:footnote w:id="168">
    <w:p w14:paraId="1C99E48C" w14:textId="77777777" w:rsidR="00A71428" w:rsidRDefault="00000000">
      <w:pPr>
        <w:spacing w:line="240" w:lineRule="auto"/>
        <w:rPr>
          <w:sz w:val="20"/>
          <w:szCs w:val="20"/>
        </w:rPr>
      </w:pPr>
      <w:r>
        <w:rPr>
          <w:rStyle w:val="FootnoteReference"/>
        </w:rPr>
        <w:footnoteRef/>
      </w:r>
      <w:r>
        <w:rPr>
          <w:sz w:val="20"/>
          <w:szCs w:val="20"/>
        </w:rPr>
        <w:t xml:space="preserve"> ASA “About Us” &lt;www.asa.co.nz&gt;</w:t>
      </w:r>
    </w:p>
  </w:footnote>
  <w:footnote w:id="169">
    <w:p w14:paraId="56E19764" w14:textId="77777777" w:rsidR="00A71428" w:rsidRDefault="00000000">
      <w:pPr>
        <w:spacing w:line="240" w:lineRule="auto"/>
        <w:rPr>
          <w:sz w:val="20"/>
          <w:szCs w:val="20"/>
        </w:rPr>
      </w:pPr>
      <w:r>
        <w:rPr>
          <w:rStyle w:val="FootnoteReference"/>
        </w:rPr>
        <w:footnoteRef/>
      </w:r>
      <w:r>
        <w:rPr>
          <w:sz w:val="20"/>
          <w:szCs w:val="20"/>
        </w:rPr>
        <w:t xml:space="preserve"> Hoeft, above n 35, at 204.</w:t>
      </w:r>
    </w:p>
  </w:footnote>
  <w:footnote w:id="170">
    <w:p w14:paraId="2779AA93" w14:textId="77777777" w:rsidR="00A71428" w:rsidRDefault="00000000">
      <w:pPr>
        <w:spacing w:line="240" w:lineRule="auto"/>
        <w:rPr>
          <w:sz w:val="20"/>
          <w:szCs w:val="20"/>
        </w:rPr>
      </w:pPr>
      <w:r>
        <w:rPr>
          <w:rStyle w:val="FootnoteReference"/>
        </w:rPr>
        <w:footnoteRef/>
      </w:r>
      <w:r>
        <w:rPr>
          <w:sz w:val="20"/>
          <w:szCs w:val="20"/>
        </w:rPr>
        <w:t xml:space="preserve"> At 204.</w:t>
      </w:r>
    </w:p>
  </w:footnote>
  <w:footnote w:id="171">
    <w:p w14:paraId="01919BAE" w14:textId="77777777" w:rsidR="00A71428" w:rsidRDefault="00000000">
      <w:pPr>
        <w:spacing w:line="240" w:lineRule="auto"/>
        <w:rPr>
          <w:sz w:val="20"/>
          <w:szCs w:val="20"/>
        </w:rPr>
      </w:pPr>
      <w:r>
        <w:rPr>
          <w:rStyle w:val="FootnoteReference"/>
        </w:rPr>
        <w:footnoteRef/>
      </w:r>
      <w:r>
        <w:rPr>
          <w:sz w:val="20"/>
          <w:szCs w:val="20"/>
        </w:rPr>
        <w:t xml:space="preserve"> ASA “Our Jurisdiction” &lt;www.asa.co.nz&gt;</w:t>
      </w:r>
    </w:p>
  </w:footnote>
  <w:footnote w:id="172">
    <w:p w14:paraId="4A0E0042" w14:textId="77777777" w:rsidR="00A71428" w:rsidRDefault="00000000">
      <w:pPr>
        <w:spacing w:line="240" w:lineRule="auto"/>
        <w:rPr>
          <w:sz w:val="20"/>
          <w:szCs w:val="20"/>
        </w:rPr>
      </w:pPr>
      <w:r>
        <w:rPr>
          <w:rStyle w:val="FootnoteReference"/>
        </w:rPr>
        <w:footnoteRef/>
      </w:r>
      <w:r>
        <w:rPr>
          <w:sz w:val="20"/>
          <w:szCs w:val="20"/>
        </w:rPr>
        <w:t xml:space="preserve"> </w:t>
      </w:r>
      <w:r>
        <w:rPr>
          <w:i/>
          <w:iCs/>
          <w:sz w:val="20"/>
          <w:szCs w:val="20"/>
        </w:rPr>
        <w:t>Re Floreani</w:t>
      </w:r>
      <w:r>
        <w:rPr>
          <w:sz w:val="20"/>
          <w:szCs w:val="20"/>
        </w:rPr>
        <w:t>, above n 23, at [99].</w:t>
      </w:r>
    </w:p>
  </w:footnote>
  <w:footnote w:id="173">
    <w:p w14:paraId="162CB79A" w14:textId="77777777" w:rsidR="00A71428" w:rsidRDefault="00000000">
      <w:pPr>
        <w:spacing w:line="240" w:lineRule="auto"/>
        <w:rPr>
          <w:sz w:val="20"/>
          <w:szCs w:val="20"/>
        </w:rPr>
      </w:pPr>
      <w:r>
        <w:rPr>
          <w:rStyle w:val="FootnoteReference"/>
        </w:rPr>
        <w:footnoteRef/>
      </w:r>
      <w:r>
        <w:rPr>
          <w:sz w:val="20"/>
          <w:szCs w:val="20"/>
        </w:rPr>
        <w:t xml:space="preserve"> FMA Guide, n 4.</w:t>
      </w:r>
    </w:p>
  </w:footnote>
  <w:footnote w:id="174">
    <w:p w14:paraId="4C8C42CC" w14:textId="77777777" w:rsidR="00A71428" w:rsidRDefault="00000000">
      <w:pPr>
        <w:spacing w:line="240" w:lineRule="auto"/>
        <w:rPr>
          <w:sz w:val="20"/>
          <w:szCs w:val="20"/>
        </w:rPr>
      </w:pPr>
      <w:r>
        <w:rPr>
          <w:rStyle w:val="FootnoteReference"/>
        </w:rPr>
        <w:footnoteRef/>
      </w:r>
      <w:r>
        <w:rPr>
          <w:sz w:val="20"/>
          <w:szCs w:val="20"/>
        </w:rPr>
        <w:t xml:space="preserve"> </w:t>
      </w:r>
      <w:r>
        <w:rPr>
          <w:i/>
          <w:iCs/>
          <w:sz w:val="20"/>
          <w:szCs w:val="20"/>
        </w:rPr>
        <w:t>Royal Commission into Misconduct in the Banking, Superannuation and Financial Services Industry</w:t>
      </w:r>
      <w:r>
        <w:rPr>
          <w:sz w:val="20"/>
          <w:szCs w:val="20"/>
        </w:rPr>
        <w:t xml:space="preserve"> (Commonwealth of Australia, Final Report, February 2019) at 25.</w:t>
      </w:r>
    </w:p>
  </w:footnote>
  <w:footnote w:id="175">
    <w:p w14:paraId="3BEB5A43" w14:textId="77777777" w:rsidR="00A71428" w:rsidRDefault="00000000">
      <w:pPr>
        <w:spacing w:line="240" w:lineRule="auto"/>
        <w:rPr>
          <w:sz w:val="20"/>
          <w:szCs w:val="20"/>
        </w:rPr>
      </w:pPr>
      <w:r>
        <w:rPr>
          <w:rStyle w:val="FootnoteReference"/>
        </w:rPr>
        <w:footnoteRef/>
      </w:r>
      <w:r>
        <w:rPr>
          <w:sz w:val="20"/>
          <w:szCs w:val="20"/>
        </w:rPr>
        <w:t xml:space="preserve"> Joseph Los'e “Four influencers, including Calen Morris and Millie Elder-Holmes, caught up in $125,000 Government gambling ad crackdown” </w:t>
      </w:r>
      <w:r>
        <w:rPr>
          <w:i/>
          <w:iCs/>
          <w:sz w:val="20"/>
          <w:szCs w:val="20"/>
        </w:rPr>
        <w:t>New Zealand Herald</w:t>
      </w:r>
      <w:r>
        <w:rPr>
          <w:sz w:val="20"/>
          <w:szCs w:val="20"/>
        </w:rPr>
        <w:t xml:space="preserve"> (Auckland, 28 September 2025).</w:t>
      </w:r>
    </w:p>
  </w:footnote>
  <w:footnote w:id="176">
    <w:p w14:paraId="4EF28120" w14:textId="77777777" w:rsidR="00A71428" w:rsidRDefault="00000000">
      <w:pPr>
        <w:spacing w:line="240" w:lineRule="auto"/>
        <w:rPr>
          <w:sz w:val="20"/>
          <w:szCs w:val="20"/>
        </w:rPr>
      </w:pPr>
      <w:r>
        <w:rPr>
          <w:rStyle w:val="FootnoteReference"/>
        </w:rPr>
        <w:footnoteRef/>
      </w:r>
      <w:r>
        <w:rPr>
          <w:sz w:val="20"/>
          <w:szCs w:val="20"/>
        </w:rPr>
        <w:t xml:space="preserve"> Eva Gallot “Four influencers fined for promoting offshore gambling organisation” Stuff NZ (Auckland, 29 September 2025).</w:t>
      </w:r>
    </w:p>
  </w:footnote>
  <w:footnote w:id="177">
    <w:p w14:paraId="485078B9" w14:textId="77777777" w:rsidR="00A71428" w:rsidRDefault="00000000">
      <w:pPr>
        <w:spacing w:line="240" w:lineRule="auto"/>
        <w:rPr>
          <w:sz w:val="20"/>
          <w:szCs w:val="20"/>
        </w:rPr>
      </w:pPr>
      <w:r>
        <w:rPr>
          <w:rStyle w:val="FootnoteReference"/>
        </w:rPr>
        <w:footnoteRef/>
      </w:r>
      <w:r>
        <w:rPr>
          <w:sz w:val="20"/>
          <w:szCs w:val="20"/>
        </w:rPr>
        <w:t xml:space="preserve"> Armour and others, above n 54, at 228.</w:t>
      </w:r>
    </w:p>
  </w:footnote>
  <w:footnote w:id="178">
    <w:p w14:paraId="523431B7" w14:textId="77777777" w:rsidR="00A71428" w:rsidRDefault="00000000">
      <w:pPr>
        <w:spacing w:line="240" w:lineRule="auto"/>
        <w:rPr>
          <w:sz w:val="20"/>
          <w:szCs w:val="20"/>
        </w:rPr>
      </w:pPr>
      <w:r>
        <w:rPr>
          <w:rStyle w:val="FootnoteReference"/>
        </w:rPr>
        <w:footnoteRef/>
      </w:r>
      <w:r>
        <w:rPr>
          <w:sz w:val="20"/>
          <w:szCs w:val="20"/>
        </w:rPr>
        <w:t xml:space="preserve"> At 228.</w:t>
      </w:r>
    </w:p>
  </w:footnote>
  <w:footnote w:id="179">
    <w:p w14:paraId="37641186" w14:textId="77777777" w:rsidR="00A71428" w:rsidRDefault="00000000">
      <w:pPr>
        <w:spacing w:line="240" w:lineRule="auto"/>
        <w:rPr>
          <w:sz w:val="20"/>
          <w:szCs w:val="20"/>
        </w:rPr>
      </w:pPr>
      <w:r>
        <w:rPr>
          <w:rStyle w:val="FootnoteReference"/>
        </w:rPr>
        <w:footnoteRef/>
      </w:r>
      <w:r>
        <w:rPr>
          <w:sz w:val="20"/>
          <w:szCs w:val="20"/>
        </w:rPr>
        <w:t xml:space="preserve"> ASIC “Discussing financial products and services online” (information sheet 269, March 2022).</w:t>
      </w:r>
    </w:p>
  </w:footnote>
  <w:footnote w:id="180">
    <w:p w14:paraId="15010591" w14:textId="77777777" w:rsidR="00A71428" w:rsidRDefault="00000000">
      <w:pPr>
        <w:spacing w:line="240" w:lineRule="auto"/>
        <w:rPr>
          <w:sz w:val="20"/>
          <w:szCs w:val="20"/>
        </w:rPr>
      </w:pPr>
      <w:r>
        <w:rPr>
          <w:rStyle w:val="FootnoteReference"/>
        </w:rPr>
        <w:footnoteRef/>
      </w:r>
      <w:r>
        <w:rPr>
          <w:sz w:val="20"/>
          <w:szCs w:val="20"/>
        </w:rPr>
        <w:t xml:space="preserve"> Above n 187.</w:t>
      </w:r>
    </w:p>
  </w:footnote>
  <w:footnote w:id="181">
    <w:p w14:paraId="633F54E1" w14:textId="77777777" w:rsidR="00A71428" w:rsidRDefault="00000000">
      <w:pPr>
        <w:spacing w:line="240" w:lineRule="auto"/>
        <w:rPr>
          <w:sz w:val="20"/>
          <w:szCs w:val="20"/>
        </w:rPr>
      </w:pPr>
      <w:r>
        <w:rPr>
          <w:rStyle w:val="FootnoteReference"/>
        </w:rPr>
        <w:footnoteRef/>
      </w:r>
      <w:r>
        <w:rPr>
          <w:sz w:val="20"/>
          <w:szCs w:val="20"/>
        </w:rPr>
        <w:t xml:space="preserve"> Lucy Dean “Finfluencers ‘scared’ ASIC will make an example of them” </w:t>
      </w:r>
      <w:r>
        <w:rPr>
          <w:i/>
          <w:iCs/>
          <w:sz w:val="20"/>
          <w:szCs w:val="20"/>
        </w:rPr>
        <w:t>Australian Financial Review</w:t>
      </w:r>
      <w:r>
        <w:rPr>
          <w:sz w:val="20"/>
          <w:szCs w:val="20"/>
        </w:rPr>
        <w:t xml:space="preserve"> (Sydney, 12 August 2022).</w:t>
      </w:r>
    </w:p>
  </w:footnote>
  <w:footnote w:id="182">
    <w:p w14:paraId="0FA82757" w14:textId="77777777" w:rsidR="00A71428" w:rsidRDefault="00000000">
      <w:pPr>
        <w:spacing w:line="240" w:lineRule="auto"/>
        <w:rPr>
          <w:sz w:val="20"/>
          <w:szCs w:val="20"/>
        </w:rPr>
      </w:pPr>
      <w:r>
        <w:rPr>
          <w:rStyle w:val="FootnoteReference"/>
        </w:rPr>
        <w:footnoteRef/>
      </w:r>
      <w:r>
        <w:rPr>
          <w:sz w:val="20"/>
          <w:szCs w:val="20"/>
        </w:rPr>
        <w:t xml:space="preserve"> Rhea Nath “Why (licensed) finfluencers could be the missing piece in the advice puzzle” </w:t>
      </w:r>
      <w:r>
        <w:rPr>
          <w:i/>
          <w:iCs/>
          <w:sz w:val="20"/>
          <w:szCs w:val="20"/>
        </w:rPr>
        <w:t>Money Management</w:t>
      </w:r>
      <w:r>
        <w:rPr>
          <w:sz w:val="20"/>
          <w:szCs w:val="20"/>
        </w:rPr>
        <w:t xml:space="preserve"> (Sydney, 6 June 2023).</w:t>
      </w:r>
    </w:p>
  </w:footnote>
  <w:footnote w:id="183">
    <w:p w14:paraId="40F9E1CA" w14:textId="77777777" w:rsidR="00A71428" w:rsidRDefault="00000000">
      <w:pPr>
        <w:spacing w:line="240" w:lineRule="auto"/>
        <w:rPr>
          <w:sz w:val="20"/>
          <w:szCs w:val="20"/>
        </w:rPr>
      </w:pPr>
      <w:r>
        <w:rPr>
          <w:rStyle w:val="FootnoteReference"/>
        </w:rPr>
        <w:footnoteRef/>
      </w:r>
      <w:r>
        <w:rPr>
          <w:sz w:val="20"/>
          <w:szCs w:val="20"/>
        </w:rPr>
        <w:t xml:space="preserve"> Aleks Vickovich “Finfluencer crackdown highlights ludicrous advice laws” </w:t>
      </w:r>
      <w:r>
        <w:rPr>
          <w:i/>
          <w:iCs/>
          <w:sz w:val="20"/>
          <w:szCs w:val="20"/>
        </w:rPr>
        <w:t>Australian Financial Review</w:t>
      </w:r>
      <w:r>
        <w:rPr>
          <w:sz w:val="20"/>
          <w:szCs w:val="20"/>
        </w:rPr>
        <w:t xml:space="preserve"> (Sydney, 22 March 2022).</w:t>
      </w:r>
    </w:p>
  </w:footnote>
  <w:footnote w:id="184">
    <w:p w14:paraId="4D57CA2A" w14:textId="77777777" w:rsidR="00A71428" w:rsidRDefault="00000000">
      <w:pPr>
        <w:spacing w:line="240" w:lineRule="auto"/>
        <w:rPr>
          <w:sz w:val="20"/>
          <w:szCs w:val="20"/>
        </w:rPr>
      </w:pPr>
      <w:r>
        <w:rPr>
          <w:rStyle w:val="FootnoteReference"/>
        </w:rPr>
        <w:footnoteRef/>
      </w:r>
      <w:r>
        <w:rPr>
          <w:sz w:val="20"/>
          <w:szCs w:val="20"/>
        </w:rPr>
        <w:t xml:space="preserve"> Vickovich “Finfluencers’ bid early goodbye after private ASIC briefing”, above n 137.</w:t>
      </w:r>
    </w:p>
  </w:footnote>
  <w:footnote w:id="185">
    <w:p w14:paraId="3BF3878C" w14:textId="77777777" w:rsidR="00A71428" w:rsidRDefault="00000000">
      <w:pPr>
        <w:spacing w:line="240" w:lineRule="auto"/>
        <w:rPr>
          <w:sz w:val="20"/>
          <w:szCs w:val="20"/>
        </w:rPr>
      </w:pPr>
      <w:r>
        <w:rPr>
          <w:rStyle w:val="FootnoteReference"/>
        </w:rPr>
        <w:footnoteRef/>
      </w:r>
      <w:r>
        <w:rPr>
          <w:sz w:val="20"/>
          <w:szCs w:val="20"/>
        </w:rPr>
        <w:t xml:space="preserve"> Nath, above n 190.</w:t>
      </w:r>
    </w:p>
  </w:footnote>
  <w:footnote w:id="186">
    <w:p w14:paraId="08A3DAFB" w14:textId="77777777" w:rsidR="00A71428" w:rsidRDefault="00000000">
      <w:pPr>
        <w:spacing w:line="240" w:lineRule="auto"/>
        <w:rPr>
          <w:sz w:val="20"/>
          <w:szCs w:val="20"/>
        </w:rPr>
      </w:pPr>
      <w:r>
        <w:rPr>
          <w:rStyle w:val="FootnoteReference"/>
        </w:rPr>
        <w:footnoteRef/>
      </w:r>
      <w:r>
        <w:rPr>
          <w:sz w:val="20"/>
          <w:szCs w:val="20"/>
        </w:rPr>
        <w:t xml:space="preserve"> Lucy Dean and Aleks Vickovich “ASIC ‘censorship’ clears way for crypto spruikers” </w:t>
      </w:r>
      <w:r>
        <w:rPr>
          <w:i/>
          <w:iCs/>
          <w:sz w:val="20"/>
          <w:szCs w:val="20"/>
        </w:rPr>
        <w:t>Australian Financial Review</w:t>
      </w:r>
      <w:r>
        <w:rPr>
          <w:sz w:val="20"/>
          <w:szCs w:val="20"/>
        </w:rPr>
        <w:t xml:space="preserve"> (Sydney, 24 March 2022).</w:t>
      </w:r>
    </w:p>
  </w:footnote>
  <w:footnote w:id="187">
    <w:p w14:paraId="11148FDA" w14:textId="77777777" w:rsidR="00A71428" w:rsidRDefault="00000000">
      <w:pPr>
        <w:spacing w:line="240" w:lineRule="auto"/>
        <w:rPr>
          <w:sz w:val="20"/>
          <w:szCs w:val="20"/>
        </w:rPr>
      </w:pPr>
      <w:r>
        <w:rPr>
          <w:rStyle w:val="FootnoteReference"/>
        </w:rPr>
        <w:footnoteRef/>
      </w:r>
      <w:r>
        <w:rPr>
          <w:sz w:val="20"/>
          <w:szCs w:val="20"/>
        </w:rPr>
        <w:t xml:space="preserve"> Will Mace "TikTok clock ticking for investment advice", above n 33.</w:t>
      </w:r>
    </w:p>
  </w:footnote>
  <w:footnote w:id="188">
    <w:p w14:paraId="5CDF484E" w14:textId="77777777" w:rsidR="00A71428" w:rsidRDefault="00000000">
      <w:pPr>
        <w:spacing w:line="240" w:lineRule="auto"/>
        <w:rPr>
          <w:sz w:val="20"/>
          <w:szCs w:val="20"/>
        </w:rPr>
      </w:pPr>
      <w:r>
        <w:rPr>
          <w:rStyle w:val="FootnoteReference"/>
        </w:rPr>
        <w:footnoteRef/>
      </w:r>
      <w:r>
        <w:rPr>
          <w:sz w:val="20"/>
          <w:szCs w:val="20"/>
        </w:rPr>
        <w:t xml:space="preserve"> Above n 33.</w:t>
      </w:r>
    </w:p>
  </w:footnote>
  <w:footnote w:id="189">
    <w:p w14:paraId="7CE5B552" w14:textId="77777777" w:rsidR="00A71428" w:rsidRDefault="00000000">
      <w:pPr>
        <w:spacing w:line="240" w:lineRule="auto"/>
        <w:rPr>
          <w:sz w:val="20"/>
          <w:szCs w:val="20"/>
        </w:rPr>
      </w:pPr>
      <w:r>
        <w:rPr>
          <w:rStyle w:val="FootnoteReference"/>
        </w:rPr>
        <w:footnoteRef/>
      </w:r>
      <w:r>
        <w:rPr>
          <w:sz w:val="20"/>
          <w:szCs w:val="20"/>
        </w:rPr>
        <w:t xml:space="preserve"> Vickovich “Finfluencers’ bid early goodbye after private ASIC briefing”, above n 137.</w:t>
      </w:r>
    </w:p>
  </w:footnote>
  <w:footnote w:id="190">
    <w:p w14:paraId="1369F497" w14:textId="77777777" w:rsidR="00A71428" w:rsidRDefault="00000000">
      <w:pPr>
        <w:spacing w:line="240" w:lineRule="auto"/>
        <w:rPr>
          <w:sz w:val="20"/>
          <w:szCs w:val="20"/>
        </w:rPr>
      </w:pPr>
      <w:r>
        <w:rPr>
          <w:rStyle w:val="FootnoteReference"/>
        </w:rPr>
        <w:footnoteRef/>
      </w:r>
      <w:r>
        <w:rPr>
          <w:sz w:val="20"/>
          <w:szCs w:val="20"/>
        </w:rPr>
        <w:t xml:space="preserve"> Dean and Vickovich, above n 194.</w:t>
      </w:r>
    </w:p>
  </w:footnote>
  <w:footnote w:id="191">
    <w:p w14:paraId="62D90A9D" w14:textId="77777777" w:rsidR="00A71428" w:rsidRDefault="00000000">
      <w:pPr>
        <w:spacing w:line="240" w:lineRule="auto"/>
        <w:rPr>
          <w:sz w:val="20"/>
          <w:szCs w:val="20"/>
        </w:rPr>
      </w:pPr>
      <w:r>
        <w:rPr>
          <w:rStyle w:val="FootnoteReference"/>
        </w:rPr>
        <w:footnoteRef/>
      </w:r>
      <w:r>
        <w:rPr>
          <w:sz w:val="20"/>
          <w:szCs w:val="20"/>
        </w:rPr>
        <w:t xml:space="preserve"> However, the FMA is currently monitoring tokenisation in financial markets, which includes cryptocurrencies and virtual assets: Financial Markets Authority </w:t>
      </w:r>
      <w:r>
        <w:rPr>
          <w:i/>
          <w:iCs/>
          <w:sz w:val="20"/>
          <w:szCs w:val="20"/>
        </w:rPr>
        <w:t>Discussion paper: Tokenisation in financial markets</w:t>
      </w:r>
      <w:r>
        <w:rPr>
          <w:sz w:val="20"/>
          <w:szCs w:val="20"/>
        </w:rPr>
        <w:t xml:space="preserve"> (September 2025).</w:t>
      </w:r>
    </w:p>
  </w:footnote>
  <w:footnote w:id="192">
    <w:p w14:paraId="3B7906FF" w14:textId="77777777" w:rsidR="00A71428" w:rsidRDefault="00000000">
      <w:pPr>
        <w:spacing w:line="240" w:lineRule="auto"/>
        <w:rPr>
          <w:sz w:val="20"/>
          <w:szCs w:val="20"/>
        </w:rPr>
      </w:pPr>
      <w:r>
        <w:rPr>
          <w:rStyle w:val="FootnoteReference"/>
        </w:rPr>
        <w:footnoteRef/>
      </w:r>
      <w:r>
        <w:rPr>
          <w:sz w:val="20"/>
          <w:szCs w:val="20"/>
        </w:rPr>
        <w:t xml:space="preserve"> This standard would be determined by the court, supported by Part 2 of the Code of Conduct.</w:t>
      </w:r>
    </w:p>
  </w:footnote>
  <w:footnote w:id="193">
    <w:p w14:paraId="2D0E35EF" w14:textId="77777777" w:rsidR="00A71428" w:rsidRDefault="00000000">
      <w:pPr>
        <w:spacing w:line="240" w:lineRule="auto"/>
        <w:rPr>
          <w:sz w:val="20"/>
          <w:szCs w:val="20"/>
        </w:rPr>
      </w:pPr>
      <w:r>
        <w:rPr>
          <w:rStyle w:val="FootnoteReference"/>
        </w:rPr>
        <w:footnoteRef/>
      </w:r>
      <w:r>
        <w:rPr>
          <w:sz w:val="20"/>
          <w:szCs w:val="20"/>
        </w:rPr>
        <w:t xml:space="preserve"> See, for example, the landmark professional negligence tort cases of </w:t>
      </w:r>
      <w:r>
        <w:rPr>
          <w:i/>
          <w:iCs/>
          <w:sz w:val="20"/>
          <w:szCs w:val="20"/>
        </w:rPr>
        <w:t>Bolam v Friern Hospital Management Committee</w:t>
      </w:r>
      <w:r>
        <w:rPr>
          <w:sz w:val="20"/>
          <w:szCs w:val="20"/>
        </w:rPr>
        <w:t xml:space="preserve"> [1957] 1 WLR 582 and </w:t>
      </w:r>
      <w:r>
        <w:rPr>
          <w:i/>
          <w:iCs/>
          <w:sz w:val="20"/>
          <w:szCs w:val="20"/>
        </w:rPr>
        <w:t>Shakoor v Situ</w:t>
      </w:r>
      <w:r>
        <w:rPr>
          <w:sz w:val="20"/>
          <w:szCs w:val="20"/>
        </w:rPr>
        <w:t xml:space="preserve"> [2000] 4 All ER 181.</w:t>
      </w:r>
    </w:p>
  </w:footnote>
  <w:footnote w:id="194">
    <w:p w14:paraId="1537EEBD" w14:textId="77777777" w:rsidR="00A71428" w:rsidRDefault="00000000">
      <w:pPr>
        <w:spacing w:line="240" w:lineRule="auto"/>
        <w:rPr>
          <w:sz w:val="20"/>
          <w:szCs w:val="20"/>
        </w:rPr>
      </w:pPr>
      <w:r>
        <w:rPr>
          <w:rStyle w:val="FootnoteReference"/>
        </w:rPr>
        <w:footnoteRef/>
      </w:r>
      <w:r>
        <w:rPr>
          <w:sz w:val="20"/>
          <w:szCs w:val="20"/>
        </w:rPr>
        <w:t xml:space="preserve"> Lucy Dean “Finfluencers turn pro after ASIC warnings” </w:t>
      </w:r>
      <w:r>
        <w:rPr>
          <w:i/>
          <w:iCs/>
          <w:sz w:val="20"/>
          <w:szCs w:val="20"/>
        </w:rPr>
        <w:t>Australian Financial Review</w:t>
      </w:r>
      <w:r>
        <w:rPr>
          <w:sz w:val="20"/>
          <w:szCs w:val="20"/>
        </w:rPr>
        <w:t xml:space="preserve"> (Sydney, 12 August 2022).</w:t>
      </w:r>
    </w:p>
  </w:footnote>
  <w:footnote w:id="195">
    <w:p w14:paraId="1DCE8521" w14:textId="77777777" w:rsidR="00A71428" w:rsidRDefault="00000000">
      <w:pPr>
        <w:spacing w:line="240" w:lineRule="auto"/>
        <w:rPr>
          <w:sz w:val="20"/>
          <w:szCs w:val="20"/>
        </w:rPr>
      </w:pPr>
      <w:r>
        <w:rPr>
          <w:rStyle w:val="FootnoteReference"/>
        </w:rPr>
        <w:footnoteRef/>
      </w:r>
      <w:r>
        <w:rPr>
          <w:sz w:val="20"/>
          <w:szCs w:val="20"/>
        </w:rPr>
        <w:t xml:space="preserve"> Ang Hwee Min “'Not financial advice': How new content creation guidelines could shake up Singapore's finfluencing landscape” </w:t>
      </w:r>
      <w:r>
        <w:rPr>
          <w:i/>
          <w:iCs/>
          <w:sz w:val="20"/>
          <w:szCs w:val="20"/>
        </w:rPr>
        <w:t>Channel News Asia</w:t>
      </w:r>
      <w:r>
        <w:rPr>
          <w:sz w:val="20"/>
          <w:szCs w:val="20"/>
        </w:rPr>
        <w:t xml:space="preserve"> (Singapore, 9 October 2025). </w:t>
      </w:r>
    </w:p>
  </w:footnote>
  <w:footnote w:id="196">
    <w:p w14:paraId="16D60CDF" w14:textId="77777777" w:rsidR="00A71428" w:rsidRDefault="00000000">
      <w:pPr>
        <w:spacing w:line="240" w:lineRule="auto"/>
        <w:rPr>
          <w:sz w:val="20"/>
          <w:szCs w:val="20"/>
        </w:rPr>
      </w:pPr>
      <w:r>
        <w:rPr>
          <w:rStyle w:val="FootnoteReference"/>
        </w:rPr>
        <w:footnoteRef/>
      </w:r>
      <w:r>
        <w:rPr>
          <w:sz w:val="20"/>
          <w:szCs w:val="20"/>
        </w:rPr>
        <w:t xml:space="preserve"> MBIE </w:t>
      </w:r>
      <w:r>
        <w:rPr>
          <w:i/>
          <w:iCs/>
          <w:sz w:val="20"/>
          <w:szCs w:val="20"/>
        </w:rPr>
        <w:t>Enforcement under the new financial advice regime</w:t>
      </w:r>
      <w:r>
        <w:rPr>
          <w:sz w:val="20"/>
          <w:szCs w:val="20"/>
        </w:rPr>
        <w:t xml:space="preserve"> (March 2021) and MBIE </w:t>
      </w:r>
      <w:r>
        <w:rPr>
          <w:i/>
          <w:iCs/>
          <w:sz w:val="20"/>
          <w:szCs w:val="20"/>
        </w:rPr>
        <w:t>Liability under the new financial advice regime</w:t>
      </w:r>
      <w:r>
        <w:rPr>
          <w:sz w:val="20"/>
          <w:szCs w:val="20"/>
        </w:rPr>
        <w:t xml:space="preserve"> (March 2021).</w:t>
      </w:r>
    </w:p>
  </w:footnote>
  <w:footnote w:id="197">
    <w:p w14:paraId="2CB87E3C" w14:textId="77777777" w:rsidR="00A71428" w:rsidRDefault="00000000">
      <w:pPr>
        <w:spacing w:line="240" w:lineRule="auto"/>
        <w:rPr>
          <w:sz w:val="20"/>
          <w:szCs w:val="20"/>
        </w:rPr>
      </w:pPr>
      <w:r>
        <w:rPr>
          <w:rStyle w:val="FootnoteReference"/>
        </w:rPr>
        <w:footnoteRef/>
      </w:r>
      <w:r>
        <w:rPr>
          <w:sz w:val="20"/>
          <w:szCs w:val="20"/>
        </w:rPr>
        <w:t xml:space="preserve"> Nicola Field “The rise of finfluencers - what you need to know” </w:t>
      </w:r>
      <w:r>
        <w:rPr>
          <w:i/>
          <w:iCs/>
          <w:sz w:val="20"/>
          <w:szCs w:val="20"/>
        </w:rPr>
        <w:t>Money Management</w:t>
      </w:r>
      <w:r>
        <w:rPr>
          <w:sz w:val="20"/>
          <w:szCs w:val="20"/>
        </w:rPr>
        <w:t xml:space="preserve"> (Sydney, 24 May 2024).</w:t>
      </w:r>
    </w:p>
  </w:footnote>
  <w:footnote w:id="198">
    <w:p w14:paraId="3CCF989E" w14:textId="77777777" w:rsidR="00A71428" w:rsidRDefault="00000000">
      <w:pPr>
        <w:spacing w:line="240" w:lineRule="auto"/>
        <w:rPr>
          <w:sz w:val="20"/>
          <w:szCs w:val="20"/>
        </w:rPr>
      </w:pPr>
      <w:r>
        <w:rPr>
          <w:rStyle w:val="FootnoteReference"/>
        </w:rPr>
        <w:footnoteRef/>
      </w:r>
      <w:r>
        <w:rPr>
          <w:sz w:val="20"/>
          <w:szCs w:val="20"/>
        </w:rPr>
        <w:t xml:space="preserve"> IOSCO, above n 50, at 50.</w:t>
      </w:r>
    </w:p>
  </w:footnote>
  <w:footnote w:id="199">
    <w:p w14:paraId="031EB08E" w14:textId="77777777" w:rsidR="00A71428" w:rsidRDefault="00000000">
      <w:pPr>
        <w:spacing w:line="240" w:lineRule="auto"/>
        <w:rPr>
          <w:sz w:val="20"/>
          <w:szCs w:val="20"/>
        </w:rPr>
      </w:pPr>
      <w:r>
        <w:rPr>
          <w:rStyle w:val="FootnoteReference"/>
        </w:rPr>
        <w:footnoteRef/>
      </w:r>
      <w:r>
        <w:rPr>
          <w:sz w:val="20"/>
          <w:szCs w:val="20"/>
        </w:rPr>
        <w:t xml:space="preserve"> Hassan Elhais “New UAE Law Regulates Finfluencers and Financial Information Provided on Social Media” </w:t>
      </w:r>
      <w:r>
        <w:rPr>
          <w:i/>
          <w:iCs/>
          <w:sz w:val="20"/>
          <w:szCs w:val="20"/>
        </w:rPr>
        <w:t xml:space="preserve">Chambers and Partners </w:t>
      </w:r>
      <w:r>
        <w:rPr>
          <w:sz w:val="20"/>
          <w:szCs w:val="20"/>
        </w:rPr>
        <w:t xml:space="preserve">(Dubai, 12 July 2025); and “China to Bar Financial Product Marketing Via Celebrity Livestreamers” </w:t>
      </w:r>
      <w:r>
        <w:rPr>
          <w:i/>
          <w:iCs/>
          <w:sz w:val="20"/>
          <w:szCs w:val="20"/>
        </w:rPr>
        <w:t>FiNews.Asia</w:t>
      </w:r>
      <w:r>
        <w:rPr>
          <w:sz w:val="20"/>
          <w:szCs w:val="20"/>
        </w:rPr>
        <w:t xml:space="preserve"> (Singapore, 3 Jan 2022).</w:t>
      </w:r>
    </w:p>
  </w:footnote>
  <w:footnote w:id="200">
    <w:p w14:paraId="4B67F22E" w14:textId="77777777" w:rsidR="00A71428" w:rsidRDefault="00000000">
      <w:pPr>
        <w:spacing w:line="240" w:lineRule="auto"/>
        <w:rPr>
          <w:sz w:val="20"/>
          <w:szCs w:val="20"/>
        </w:rPr>
      </w:pPr>
      <w:r>
        <w:rPr>
          <w:rStyle w:val="FootnoteReference"/>
        </w:rPr>
        <w:footnoteRef/>
      </w:r>
      <w:r>
        <w:rPr>
          <w:sz w:val="20"/>
          <w:szCs w:val="20"/>
        </w:rPr>
        <w:t xml:space="preserve"> IOSCO “MMoU Signatories to Appendix A and Appendix B List” &lt;www.iosco.org&gt;; and IOSCO “EMMoU Signatories to Appendix A and Appendix B List” &lt;www.iosco.org&gt;</w:t>
      </w:r>
    </w:p>
  </w:footnote>
  <w:footnote w:id="201">
    <w:p w14:paraId="6DC2AA33" w14:textId="77777777" w:rsidR="00A71428" w:rsidRDefault="00000000">
      <w:pPr>
        <w:spacing w:line="240" w:lineRule="auto"/>
        <w:rPr>
          <w:sz w:val="20"/>
          <w:szCs w:val="20"/>
        </w:rPr>
      </w:pPr>
      <w:r>
        <w:rPr>
          <w:rStyle w:val="FootnoteReference"/>
        </w:rPr>
        <w:footnoteRef/>
      </w:r>
      <w:r>
        <w:rPr>
          <w:sz w:val="20"/>
          <w:szCs w:val="20"/>
        </w:rPr>
        <w:t xml:space="preserve"> IOSCO “Enhanced Multilateral Memorandum of Understanding Concerning Consultation and Cooperation and the Exchange of Information (EMMoU)” &lt;www.iosco.org&gt;</w:t>
      </w:r>
    </w:p>
  </w:footnote>
  <w:footnote w:id="202">
    <w:p w14:paraId="60084F0D" w14:textId="77777777" w:rsidR="00A71428" w:rsidRDefault="00000000">
      <w:pPr>
        <w:spacing w:line="240" w:lineRule="auto"/>
        <w:rPr>
          <w:sz w:val="20"/>
          <w:szCs w:val="20"/>
        </w:rPr>
      </w:pPr>
      <w:r>
        <w:rPr>
          <w:rStyle w:val="FootnoteReference"/>
        </w:rPr>
        <w:footnoteRef/>
      </w:r>
      <w:r>
        <w:rPr>
          <w:sz w:val="20"/>
          <w:szCs w:val="20"/>
        </w:rPr>
        <w:t xml:space="preserve"> Giancarlo Frosio and Christophe Geiger “Taking Fundamental Rights Seriously in the Digital Services Act’s Platform Liability Regime” (2023) ELJ 29(1) 31 at 37.</w:t>
      </w:r>
    </w:p>
  </w:footnote>
  <w:footnote w:id="203">
    <w:p w14:paraId="39CD8E8C" w14:textId="77777777" w:rsidR="00A71428" w:rsidRDefault="00000000">
      <w:pPr>
        <w:spacing w:line="240" w:lineRule="auto"/>
        <w:rPr>
          <w:sz w:val="20"/>
          <w:szCs w:val="20"/>
        </w:rPr>
      </w:pPr>
      <w:r>
        <w:rPr>
          <w:rStyle w:val="FootnoteReference"/>
        </w:rPr>
        <w:footnoteRef/>
      </w:r>
      <w:r>
        <w:rPr>
          <w:sz w:val="20"/>
          <w:szCs w:val="20"/>
        </w:rPr>
        <w:t xml:space="preserve"> Kwai, above n 22.</w:t>
      </w:r>
    </w:p>
  </w:footnote>
  <w:footnote w:id="204">
    <w:p w14:paraId="1DE26F1F" w14:textId="77777777" w:rsidR="00A71428" w:rsidRDefault="00000000">
      <w:pPr>
        <w:spacing w:line="240" w:lineRule="auto"/>
        <w:rPr>
          <w:sz w:val="20"/>
          <w:szCs w:val="20"/>
        </w:rPr>
      </w:pPr>
      <w:r>
        <w:rPr>
          <w:rStyle w:val="FootnoteReference"/>
        </w:rPr>
        <w:footnoteRef/>
      </w:r>
      <w:r>
        <w:rPr>
          <w:sz w:val="20"/>
          <w:szCs w:val="20"/>
        </w:rPr>
        <w:t xml:space="preserve"> Kim Albarella “Introducing Security Checkup: A smarter way to safeguard your TikTok account” (18 March 2025) TikTok &lt;www.newsroom.tiktok.com&gt;</w:t>
      </w:r>
    </w:p>
  </w:footnote>
  <w:footnote w:id="205">
    <w:p w14:paraId="12CDBF12" w14:textId="77777777" w:rsidR="00A71428" w:rsidRDefault="00000000">
      <w:pPr>
        <w:spacing w:line="240" w:lineRule="auto"/>
        <w:rPr>
          <w:sz w:val="20"/>
          <w:szCs w:val="20"/>
        </w:rPr>
      </w:pPr>
      <w:r>
        <w:rPr>
          <w:rStyle w:val="FootnoteReference"/>
        </w:rPr>
        <w:footnoteRef/>
      </w:r>
      <w:r>
        <w:rPr>
          <w:sz w:val="20"/>
          <w:szCs w:val="20"/>
        </w:rPr>
        <w:t xml:space="preserve"> See </w:t>
      </w:r>
      <w:r>
        <w:rPr>
          <w:i/>
          <w:iCs/>
          <w:sz w:val="20"/>
          <w:szCs w:val="20"/>
        </w:rPr>
        <w:t>Re Floreani</w:t>
      </w:r>
      <w:r>
        <w:rPr>
          <w:sz w:val="20"/>
          <w:szCs w:val="20"/>
        </w:rPr>
        <w:t>, above n 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EA5E3" w14:textId="77777777" w:rsidR="00A71428" w:rsidRDefault="00A71428">
    <w:pPr>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35617"/>
    <w:multiLevelType w:val="multilevel"/>
    <w:tmpl w:val="E10E70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F81B08"/>
    <w:multiLevelType w:val="multilevel"/>
    <w:tmpl w:val="85BC24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3E2A13BD"/>
    <w:multiLevelType w:val="multilevel"/>
    <w:tmpl w:val="C3F4E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6B85FAE"/>
    <w:multiLevelType w:val="multilevel"/>
    <w:tmpl w:val="CE648C3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09C4F88"/>
    <w:multiLevelType w:val="multilevel"/>
    <w:tmpl w:val="CC4C25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45979686">
    <w:abstractNumId w:val="0"/>
  </w:num>
  <w:num w:numId="2" w16cid:durableId="1392803831">
    <w:abstractNumId w:val="1"/>
  </w:num>
  <w:num w:numId="3" w16cid:durableId="1977879478">
    <w:abstractNumId w:val="3"/>
  </w:num>
  <w:num w:numId="4" w16cid:durableId="1879975860">
    <w:abstractNumId w:val="4"/>
  </w:num>
  <w:num w:numId="5" w16cid:durableId="2766450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428"/>
    <w:rsid w:val="004B2306"/>
    <w:rsid w:val="006A15BF"/>
    <w:rsid w:val="00A47CD3"/>
    <w:rsid w:val="00A71428"/>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E0D12AF"/>
  <w15:docId w15:val="{972338AD-E859-1D4C-87DE-AFBB19804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zh-CN" w:bidi="ar-SA"/>
      </w:rPr>
    </w:rPrDefault>
    <w:pPrDefault>
      <w:pPr>
        <w:spacing w:line="39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line="219" w:lineRule="auto"/>
      <w:ind w:left="720" w:hanging="360"/>
      <w:outlineLvl w:val="0"/>
    </w:pPr>
    <w:rPr>
      <w:i/>
      <w:iCs/>
      <w:sz w:val="28"/>
      <w:szCs w:val="28"/>
    </w:rPr>
  </w:style>
  <w:style w:type="paragraph" w:styleId="Heading2">
    <w:name w:val="heading 2"/>
    <w:basedOn w:val="Normal"/>
    <w:next w:val="Normal"/>
    <w:uiPriority w:val="9"/>
    <w:unhideWhenUsed/>
    <w:qFormat/>
    <w:pPr>
      <w:keepNext/>
      <w:keepLines/>
      <w:spacing w:before="240" w:after="60" w:line="254" w:lineRule="auto"/>
      <w:ind w:left="720" w:hanging="360"/>
      <w:outlineLvl w:val="1"/>
    </w:pPr>
    <w:rPr>
      <w:i/>
      <w:iCs/>
    </w:rPr>
  </w:style>
  <w:style w:type="paragraph" w:styleId="Heading3">
    <w:name w:val="heading 3"/>
    <w:basedOn w:val="Normal"/>
    <w:next w:val="Normal"/>
    <w:uiPriority w:val="9"/>
    <w:unhideWhenUsed/>
    <w:qFormat/>
    <w:pPr>
      <w:keepNext/>
      <w:keepLines/>
      <w:spacing w:before="240" w:after="60" w:line="332" w:lineRule="auto"/>
      <w:ind w:left="720" w:hanging="360"/>
      <w:outlineLvl w:val="2"/>
    </w:pPr>
    <w:rPr>
      <w:i/>
      <w:iCs/>
    </w:rPr>
  </w:style>
  <w:style w:type="paragraph" w:styleId="Heading4">
    <w:name w:val="heading 4"/>
    <w:basedOn w:val="Normal"/>
    <w:next w:val="Normal"/>
    <w:uiPriority w:val="9"/>
    <w:unhideWhenUsed/>
    <w:qFormat/>
    <w:pPr>
      <w:keepNext/>
      <w:keepLines/>
      <w:ind w:left="280"/>
      <w:outlineLvl w:val="3"/>
    </w:pPr>
  </w:style>
  <w:style w:type="paragraph" w:styleId="Heading5">
    <w:name w:val="heading 5"/>
    <w:basedOn w:val="Normal"/>
    <w:next w:val="Normal"/>
    <w:uiPriority w:val="9"/>
    <w:semiHidden/>
    <w:unhideWhenUsed/>
    <w:qFormat/>
    <w:pPr>
      <w:keepNext/>
      <w:keepLines/>
      <w:ind w:left="280"/>
      <w:outlineLvl w:val="4"/>
    </w:p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Pr>
  </w:style>
  <w:style w:type="paragraph" w:styleId="Header">
    <w:name w:val="header"/>
    <w:basedOn w:val="Normal"/>
    <w:link w:val="HeaderChar"/>
    <w:uiPriority w:val="99"/>
    <w:unhideWhenUsed/>
    <w:rsid w:val="008C375B"/>
    <w:pPr>
      <w:tabs>
        <w:tab w:val="center" w:pos="4513"/>
        <w:tab w:val="right" w:pos="9026"/>
      </w:tabs>
      <w:spacing w:line="240" w:lineRule="auto"/>
    </w:pPr>
  </w:style>
  <w:style w:type="character" w:customStyle="1" w:styleId="HeaderChar">
    <w:name w:val="Header Char"/>
    <w:basedOn w:val="DefaultParagraphFont"/>
    <w:link w:val="Header"/>
    <w:uiPriority w:val="99"/>
    <w:rsid w:val="008C375B"/>
  </w:style>
  <w:style w:type="paragraph" w:styleId="Footer">
    <w:name w:val="footer"/>
    <w:basedOn w:val="Normal"/>
    <w:link w:val="FooterChar"/>
    <w:uiPriority w:val="99"/>
    <w:unhideWhenUsed/>
    <w:rsid w:val="008C375B"/>
    <w:pPr>
      <w:tabs>
        <w:tab w:val="center" w:pos="4513"/>
        <w:tab w:val="right" w:pos="9026"/>
      </w:tabs>
      <w:spacing w:line="240" w:lineRule="auto"/>
    </w:pPr>
  </w:style>
  <w:style w:type="character" w:customStyle="1" w:styleId="FooterChar">
    <w:name w:val="Footer Char"/>
    <w:basedOn w:val="DefaultParagraphFont"/>
    <w:link w:val="Footer"/>
    <w:uiPriority w:val="99"/>
    <w:rsid w:val="008C375B"/>
  </w:style>
  <w:style w:type="paragraph" w:styleId="FootnoteText">
    <w:name w:val="footnote text"/>
    <w:basedOn w:val="Normal"/>
    <w:link w:val="FootnoteTextChar"/>
    <w:uiPriority w:val="99"/>
    <w:semiHidden/>
    <w:unhideWhenUsed/>
    <w:rsid w:val="00860F61"/>
    <w:pPr>
      <w:spacing w:line="240" w:lineRule="auto"/>
    </w:pPr>
    <w:rPr>
      <w:sz w:val="20"/>
      <w:szCs w:val="20"/>
    </w:rPr>
  </w:style>
  <w:style w:type="character" w:customStyle="1" w:styleId="FootnoteTextChar">
    <w:name w:val="Footnote Text Char"/>
    <w:basedOn w:val="DefaultParagraphFont"/>
    <w:link w:val="FootnoteText"/>
    <w:uiPriority w:val="99"/>
    <w:semiHidden/>
    <w:rsid w:val="00860F61"/>
    <w:rPr>
      <w:sz w:val="20"/>
      <w:szCs w:val="20"/>
    </w:rPr>
  </w:style>
  <w:style w:type="character" w:styleId="FootnoteReference">
    <w:name w:val="footnote reference"/>
    <w:basedOn w:val="DefaultParagraphFont"/>
    <w:uiPriority w:val="99"/>
    <w:semiHidden/>
    <w:unhideWhenUsed/>
    <w:rsid w:val="00860F61"/>
    <w:rPr>
      <w:vertAlign w:val="superscript"/>
    </w:rPr>
  </w:style>
  <w:style w:type="table" w:customStyle="1" w:styleId="a0">
    <w:basedOn w:val="TableNormal"/>
    <w:tblPr>
      <w:tblStyleRowBandSize w:val="1"/>
      <w:tblStyleColBandSize w:val="1"/>
    </w:tbl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zotero.org/google-docs/?a3qEb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zotero.org/google-docs/?iLtVfI" TargetMode="External"/><Relationship Id="rId1" Type="http://schemas.openxmlformats.org/officeDocument/2006/relationships/hyperlink" Target="https://www.zotero.org/google-docs/?0ro6X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IhUZwCT6xlQ6PCVHqq72Hfz+A==">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15407</Words>
  <Characters>87823</Characters>
  <Application>Microsoft Office Word</Application>
  <DocSecurity>0</DocSecurity>
  <Lines>731</Lines>
  <Paragraphs>206</Paragraphs>
  <ScaleCrop>false</ScaleCrop>
  <Company/>
  <LinksUpToDate>false</LinksUpToDate>
  <CharactersWithSpaces>103024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Amelia Cai</cp:lastModifiedBy>
  <cp:revision>2</cp:revision>
  <dcterms:created xsi:type="dcterms:W3CDTF">2025-11-15T15:57:00Z</dcterms:created>
  <dcterms:modified xsi:type="dcterms:W3CDTF">2026-02-28T01:07:00Z</dcterms:modified>
</cp:coreProperties>
</file>