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F668B" w14:textId="77777777" w:rsidR="00CC7EB4" w:rsidRDefault="00CC7EB4" w:rsidP="00CC7EB4">
      <w:pPr>
        <w:spacing w:after="160" w:line="360" w:lineRule="auto"/>
        <w:jc w:val="center"/>
        <w:rPr>
          <w:rFonts w:ascii="Arial" w:hAnsi="Arial" w:cs="Arial"/>
          <w:sz w:val="56"/>
          <w:szCs w:val="56"/>
          <w:lang w:val="en-US"/>
        </w:rPr>
      </w:pPr>
      <w:r>
        <w:rPr>
          <w:rFonts w:ascii="Arial" w:hAnsi="Arial" w:cs="Arial"/>
          <w:sz w:val="56"/>
          <w:szCs w:val="56"/>
          <w:lang w:val="en-US"/>
        </w:rPr>
        <w:t>Plugging the gaps in consent: standard form contracts and their failings</w:t>
      </w:r>
    </w:p>
    <w:p w14:paraId="43BDC3FA" w14:textId="77777777" w:rsidR="00CC7EB4" w:rsidRDefault="00CC7EB4" w:rsidP="00CC7EB4">
      <w:pPr>
        <w:spacing w:after="160" w:line="360" w:lineRule="auto"/>
        <w:jc w:val="center"/>
        <w:rPr>
          <w:rFonts w:ascii="Arial" w:hAnsi="Arial" w:cs="Arial"/>
          <w:b/>
          <w:bCs/>
          <w:sz w:val="56"/>
          <w:szCs w:val="56"/>
          <w:lang w:val="en-US"/>
        </w:rPr>
      </w:pPr>
    </w:p>
    <w:p w14:paraId="621433B9" w14:textId="77777777" w:rsidR="00CC7EB4" w:rsidRDefault="00CC7EB4" w:rsidP="00CC7EB4">
      <w:pPr>
        <w:spacing w:after="160" w:line="360" w:lineRule="auto"/>
        <w:jc w:val="center"/>
        <w:rPr>
          <w:rFonts w:ascii="Arial" w:hAnsi="Arial" w:cs="Arial"/>
          <w:sz w:val="48"/>
          <w:szCs w:val="48"/>
          <w:lang w:val="en-US"/>
        </w:rPr>
      </w:pPr>
    </w:p>
    <w:p w14:paraId="3C111B3F" w14:textId="77777777" w:rsidR="00CC7EB4" w:rsidRPr="00F03B52" w:rsidRDefault="00CC7EB4" w:rsidP="00CC7EB4">
      <w:pPr>
        <w:spacing w:after="160" w:line="360" w:lineRule="auto"/>
        <w:jc w:val="center"/>
        <w:rPr>
          <w:rFonts w:ascii="Arial" w:hAnsi="Arial" w:cs="Arial"/>
          <w:sz w:val="48"/>
          <w:szCs w:val="48"/>
          <w:lang w:val="en-US"/>
        </w:rPr>
      </w:pPr>
      <w:r w:rsidRPr="0066425B">
        <w:rPr>
          <w:rFonts w:ascii="Arial" w:hAnsi="Arial" w:cs="Arial"/>
          <w:sz w:val="48"/>
          <w:szCs w:val="48"/>
          <w:lang w:val="en-US"/>
        </w:rPr>
        <w:t>Nicholas Howell</w:t>
      </w:r>
    </w:p>
    <w:p w14:paraId="774F0DF5" w14:textId="77777777" w:rsidR="00CC7EB4" w:rsidRDefault="00CC7EB4" w:rsidP="00CC7EB4">
      <w:pPr>
        <w:spacing w:after="160" w:line="360" w:lineRule="auto"/>
        <w:jc w:val="center"/>
        <w:rPr>
          <w:rFonts w:ascii="Arial" w:hAnsi="Arial" w:cs="Arial"/>
          <w:b/>
          <w:bCs/>
          <w:sz w:val="48"/>
          <w:szCs w:val="48"/>
          <w:lang w:val="en-US"/>
        </w:rPr>
      </w:pPr>
    </w:p>
    <w:p w14:paraId="2ED77A8C" w14:textId="77777777" w:rsidR="00CC7EB4" w:rsidRDefault="00CC7EB4" w:rsidP="00CC7EB4">
      <w:pPr>
        <w:spacing w:after="160" w:line="360" w:lineRule="auto"/>
        <w:jc w:val="center"/>
        <w:rPr>
          <w:rFonts w:ascii="Arial" w:hAnsi="Arial" w:cs="Arial"/>
          <w:sz w:val="32"/>
          <w:szCs w:val="32"/>
          <w:lang w:val="en-US"/>
        </w:rPr>
      </w:pPr>
      <w:r>
        <w:rPr>
          <w:rFonts w:ascii="Arial" w:hAnsi="Arial" w:cs="Arial"/>
          <w:sz w:val="32"/>
          <w:szCs w:val="32"/>
          <w:lang w:val="en-US"/>
        </w:rPr>
        <w:t>A dissertation submitted in [partial] fulfilment of the requirements for the degree of Bachelor of Laws [Honours], the University of Auckland.</w:t>
      </w:r>
    </w:p>
    <w:p w14:paraId="1B852128" w14:textId="77777777" w:rsidR="00CC7EB4" w:rsidRDefault="00CC7EB4" w:rsidP="00CC7EB4">
      <w:pPr>
        <w:spacing w:after="160" w:line="360" w:lineRule="auto"/>
        <w:jc w:val="center"/>
        <w:rPr>
          <w:rFonts w:ascii="Arial" w:hAnsi="Arial" w:cs="Arial"/>
          <w:sz w:val="32"/>
          <w:szCs w:val="32"/>
          <w:lang w:val="en-US"/>
        </w:rPr>
      </w:pPr>
    </w:p>
    <w:p w14:paraId="5D55BC45" w14:textId="77777777" w:rsidR="00CC7EB4" w:rsidRDefault="00CC7EB4" w:rsidP="00CC7EB4">
      <w:pPr>
        <w:spacing w:after="160" w:line="360" w:lineRule="auto"/>
        <w:jc w:val="center"/>
        <w:rPr>
          <w:rFonts w:ascii="Arial" w:hAnsi="Arial" w:cs="Arial"/>
          <w:sz w:val="32"/>
          <w:szCs w:val="32"/>
          <w:lang w:val="en-US"/>
        </w:rPr>
      </w:pPr>
      <w:r>
        <w:rPr>
          <w:rFonts w:ascii="Arial" w:hAnsi="Arial" w:cs="Arial"/>
          <w:sz w:val="32"/>
          <w:szCs w:val="32"/>
          <w:lang w:val="en-US"/>
        </w:rPr>
        <w:t>Supervisor: Jodi Gardner</w:t>
      </w:r>
    </w:p>
    <w:p w14:paraId="3D247A82" w14:textId="77777777" w:rsidR="00CC7EB4" w:rsidRDefault="00CC7EB4" w:rsidP="00CC7EB4">
      <w:pPr>
        <w:spacing w:after="160" w:line="360" w:lineRule="auto"/>
        <w:jc w:val="center"/>
        <w:rPr>
          <w:rFonts w:ascii="Arial" w:hAnsi="Arial" w:cs="Arial"/>
          <w:sz w:val="32"/>
          <w:szCs w:val="32"/>
          <w:lang w:val="en-US"/>
        </w:rPr>
      </w:pPr>
    </w:p>
    <w:p w14:paraId="3B7CA618" w14:textId="77777777" w:rsidR="00CC7EB4" w:rsidRDefault="00CC7EB4" w:rsidP="00CC7EB4">
      <w:pPr>
        <w:spacing w:after="160" w:line="360" w:lineRule="auto"/>
        <w:jc w:val="center"/>
        <w:rPr>
          <w:rFonts w:ascii="Arial" w:hAnsi="Arial" w:cs="Arial"/>
          <w:sz w:val="32"/>
          <w:szCs w:val="32"/>
          <w:lang w:val="en-US"/>
        </w:rPr>
      </w:pPr>
    </w:p>
    <w:p w14:paraId="37FCAA88" w14:textId="77777777" w:rsidR="00CC7EB4" w:rsidRDefault="00CC7EB4" w:rsidP="00CC7EB4">
      <w:pPr>
        <w:spacing w:after="160" w:line="360" w:lineRule="auto"/>
        <w:jc w:val="center"/>
        <w:rPr>
          <w:rFonts w:ascii="Arial" w:hAnsi="Arial" w:cs="Arial"/>
          <w:sz w:val="32"/>
          <w:szCs w:val="32"/>
          <w:lang w:val="en-US"/>
        </w:rPr>
      </w:pPr>
      <w:r>
        <w:rPr>
          <w:rFonts w:ascii="Arial" w:hAnsi="Arial" w:cs="Arial"/>
          <w:sz w:val="32"/>
          <w:szCs w:val="32"/>
          <w:lang w:val="en-US"/>
        </w:rPr>
        <w:t>31 May 2024</w:t>
      </w:r>
    </w:p>
    <w:p w14:paraId="7326E5A4" w14:textId="77777777" w:rsidR="00CC7EB4" w:rsidRPr="00E11030" w:rsidRDefault="00CC7EB4" w:rsidP="00CC7EB4">
      <w:pPr>
        <w:spacing w:after="160" w:line="360" w:lineRule="auto"/>
        <w:jc w:val="center"/>
        <w:rPr>
          <w:rFonts w:ascii="Arial" w:hAnsi="Arial" w:cs="Arial"/>
          <w:sz w:val="22"/>
          <w:szCs w:val="22"/>
          <w:lang w:val="en-US"/>
        </w:rPr>
      </w:pPr>
      <w:r w:rsidRPr="00E11030">
        <w:rPr>
          <w:rFonts w:ascii="Arial" w:hAnsi="Arial" w:cs="Arial"/>
          <w:sz w:val="22"/>
          <w:szCs w:val="22"/>
          <w:lang w:val="en-US"/>
        </w:rPr>
        <w:t>(14,9</w:t>
      </w:r>
      <w:r>
        <w:rPr>
          <w:rFonts w:ascii="Arial" w:hAnsi="Arial" w:cs="Arial"/>
          <w:sz w:val="22"/>
          <w:szCs w:val="22"/>
          <w:lang w:val="en-US"/>
        </w:rPr>
        <w:t>49</w:t>
      </w:r>
      <w:r w:rsidRPr="00E11030">
        <w:rPr>
          <w:rFonts w:ascii="Arial" w:hAnsi="Arial" w:cs="Arial"/>
          <w:sz w:val="22"/>
          <w:szCs w:val="22"/>
          <w:lang w:val="en-US"/>
        </w:rPr>
        <w:t xml:space="preserve"> words)</w:t>
      </w:r>
    </w:p>
    <w:p w14:paraId="3644B44C" w14:textId="77777777" w:rsidR="00CC7EB4" w:rsidRDefault="00CC7EB4" w:rsidP="00CC7EB4">
      <w:pPr>
        <w:spacing w:after="160" w:line="360" w:lineRule="auto"/>
        <w:rPr>
          <w:rFonts w:ascii="Arial" w:hAnsi="Arial" w:cs="Arial"/>
          <w:b/>
          <w:bCs/>
          <w:i/>
          <w:iCs/>
          <w:sz w:val="28"/>
          <w:szCs w:val="28"/>
          <w:lang w:val="en-US"/>
        </w:rPr>
      </w:pPr>
    </w:p>
    <w:p w14:paraId="04C59ADC" w14:textId="77777777" w:rsidR="00CC7EB4" w:rsidRDefault="00CC7EB4" w:rsidP="00CC7EB4">
      <w:pPr>
        <w:spacing w:after="160"/>
        <w:jc w:val="center"/>
        <w:rPr>
          <w:rFonts w:ascii="Arial" w:hAnsi="Arial" w:cs="Arial"/>
          <w:b/>
          <w:bCs/>
          <w:sz w:val="28"/>
          <w:szCs w:val="28"/>
          <w:lang w:val="en-US"/>
        </w:rPr>
      </w:pPr>
      <w:r w:rsidRPr="00191B70">
        <w:rPr>
          <w:rFonts w:ascii="Arial" w:hAnsi="Arial" w:cs="Arial"/>
          <w:sz w:val="28"/>
          <w:szCs w:val="28"/>
          <w:lang w:val="en-US"/>
        </w:rPr>
        <w:br w:type="page"/>
      </w:r>
      <w:r>
        <w:rPr>
          <w:rFonts w:ascii="Arial" w:hAnsi="Arial" w:cs="Arial"/>
          <w:b/>
          <w:bCs/>
          <w:sz w:val="28"/>
          <w:szCs w:val="28"/>
          <w:lang w:val="en-US"/>
        </w:rPr>
        <w:lastRenderedPageBreak/>
        <w:t>ABSTRACT</w:t>
      </w:r>
    </w:p>
    <w:p w14:paraId="2BD295D5" w14:textId="77777777" w:rsidR="00CC7EB4" w:rsidRDefault="00CC7EB4" w:rsidP="00CC7EB4">
      <w:pPr>
        <w:spacing w:after="160"/>
        <w:jc w:val="center"/>
        <w:rPr>
          <w:rFonts w:ascii="Arial" w:hAnsi="Arial" w:cs="Arial"/>
          <w:b/>
          <w:bCs/>
          <w:sz w:val="28"/>
          <w:szCs w:val="28"/>
          <w:lang w:val="en-US"/>
        </w:rPr>
      </w:pPr>
    </w:p>
    <w:p w14:paraId="48CAD0CA" w14:textId="77777777" w:rsidR="00CC7EB4" w:rsidRDefault="00CC7EB4" w:rsidP="00CC7EB4">
      <w:pPr>
        <w:spacing w:after="160" w:line="360" w:lineRule="auto"/>
        <w:jc w:val="both"/>
        <w:rPr>
          <w:rFonts w:ascii="Arial" w:hAnsi="Arial" w:cs="Arial"/>
          <w:lang w:val="en-US"/>
        </w:rPr>
      </w:pPr>
      <w:r>
        <w:rPr>
          <w:rFonts w:ascii="Arial" w:hAnsi="Arial" w:cs="Arial"/>
          <w:lang w:val="en-US"/>
        </w:rPr>
        <w:t xml:space="preserve">A standard form contract is a contract given on a take it or leave it basis, characterised by an inequality of bargaining power and little to no negotiation. As industry and the marketplace have evolved, the standard form has become the dominant mode of contracting. Standard form contract epitomises efficiency, quickening the speed of the many transactions consumers and businesses undertake. With this paradigm shift has come significant challenges, including a heightened inequality between business and consumer and an increased lack of consent to the terms and conditions of contract. Considering that consent is in many ways the cornerstone of contract law, standard form presents an intractable problem. Should we invalidate all standard form contract because it does not strictly adhere to the rigid formalities of contract law? Or should we ameliorate the excesses of standard form contract through the operation of </w:t>
      </w:r>
      <w:r w:rsidRPr="001C7B8B">
        <w:rPr>
          <w:rFonts w:ascii="Arial" w:hAnsi="Arial" w:cs="Arial"/>
          <w:lang w:val="en-US"/>
        </w:rPr>
        <w:t>ex</w:t>
      </w:r>
      <w:r>
        <w:rPr>
          <w:rFonts w:ascii="Arial" w:hAnsi="Arial" w:cs="Arial"/>
          <w:i/>
          <w:iCs/>
          <w:lang w:val="en-US"/>
        </w:rPr>
        <w:t xml:space="preserve"> </w:t>
      </w:r>
      <w:r w:rsidRPr="001C7B8B">
        <w:rPr>
          <w:rFonts w:ascii="Arial" w:hAnsi="Arial" w:cs="Arial"/>
          <w:lang w:val="en-US"/>
        </w:rPr>
        <w:t>post</w:t>
      </w:r>
      <w:r>
        <w:rPr>
          <w:rFonts w:ascii="Arial" w:hAnsi="Arial" w:cs="Arial"/>
          <w:i/>
          <w:iCs/>
          <w:lang w:val="en-US"/>
        </w:rPr>
        <w:t xml:space="preserve"> </w:t>
      </w:r>
      <w:r>
        <w:rPr>
          <w:rFonts w:ascii="Arial" w:hAnsi="Arial" w:cs="Arial"/>
          <w:lang w:val="en-US"/>
        </w:rPr>
        <w:t>remedies such as the ability to declare a term as unfair or unconscionable? This dissertation discards the former suggestion as impractical. This dissertation also concludes that unconscionability and unfair contract term regimes are insufficient as a bulwark against standard form contract. Instead, this dissertation suggests the implementation of a disclosure regime, which mandates the transparent disclosure of the salient elements of standard form contract. Disclosure in this fashion, it is argued, improves consent by lessening the impenetrability of contract and making contract accessible. A disclosure regime is also superior to ex post remedies in the sense that it treats the cause of poor standard form contract rather than the symptom. If lawmakers wish to truly rectify the crisis of consent, they must embrace the disclosure framework. Consumers can only properly consent to contract when they comprehend and understand their legal duties and obligations. If we ignore these realities of standard form, we risk a marketplace of the haves and the have-nots, whereby private lawmakers dictate one-sided terms and strip away the rights and remedies of consumers.</w:t>
      </w:r>
    </w:p>
    <w:p w14:paraId="166671C2" w14:textId="3D31D4A3" w:rsidR="00CC7EB4" w:rsidRPr="00A56AAD" w:rsidRDefault="00CC7EB4" w:rsidP="00A56AAD">
      <w:pPr>
        <w:spacing w:after="160" w:line="360" w:lineRule="auto"/>
        <w:jc w:val="center"/>
        <w:rPr>
          <w:rFonts w:ascii="Arial" w:hAnsi="Arial" w:cs="Arial"/>
          <w:b/>
          <w:bCs/>
          <w:color w:val="202122"/>
          <w:sz w:val="28"/>
          <w:szCs w:val="28"/>
          <w:shd w:val="clear" w:color="auto" w:fill="FFFFFF"/>
        </w:rPr>
      </w:pPr>
      <w:r w:rsidRPr="00CC4CF3">
        <w:rPr>
          <w:rFonts w:ascii="Arial" w:hAnsi="Arial" w:cs="Arial"/>
          <w:b/>
          <w:bCs/>
          <w:color w:val="202122"/>
          <w:sz w:val="28"/>
          <w:szCs w:val="28"/>
          <w:shd w:val="clear" w:color="auto" w:fill="FFFFFF"/>
        </w:rPr>
        <w:br/>
      </w:r>
    </w:p>
    <w:p w14:paraId="38D02509" w14:textId="4955DECD" w:rsidR="00CC7EB4" w:rsidRDefault="00CC7EB4" w:rsidP="00CC7EB4">
      <w:pPr>
        <w:spacing w:after="160" w:line="360" w:lineRule="auto"/>
        <w:rPr>
          <w:rFonts w:ascii="Arial" w:hAnsi="Arial" w:cs="Arial"/>
          <w:color w:val="202122"/>
          <w:sz w:val="22"/>
          <w:szCs w:val="22"/>
          <w:shd w:val="clear" w:color="auto" w:fill="FFFFFF"/>
        </w:rPr>
      </w:pPr>
    </w:p>
    <w:p w14:paraId="24298E4E" w14:textId="77777777" w:rsidR="00CC7EB4" w:rsidRDefault="00CC7EB4" w:rsidP="00CC7EB4">
      <w:pPr>
        <w:spacing w:after="160" w:line="360" w:lineRule="auto"/>
        <w:rPr>
          <w:rFonts w:ascii="Arial" w:hAnsi="Arial" w:cs="Arial"/>
          <w:b/>
          <w:bCs/>
          <w:color w:val="202122"/>
          <w:sz w:val="28"/>
          <w:szCs w:val="28"/>
          <w:shd w:val="clear" w:color="auto" w:fill="FFFFFF"/>
        </w:rPr>
      </w:pPr>
    </w:p>
    <w:p w14:paraId="69451D7A" w14:textId="77777777" w:rsidR="00CC7EB4" w:rsidRDefault="00CC7EB4" w:rsidP="00CC7EB4">
      <w:pPr>
        <w:spacing w:after="160" w:line="360" w:lineRule="auto"/>
        <w:jc w:val="center"/>
        <w:rPr>
          <w:rFonts w:ascii="Arial" w:hAnsi="Arial" w:cs="Arial"/>
          <w:b/>
          <w:bCs/>
          <w:color w:val="202122"/>
          <w:sz w:val="28"/>
          <w:szCs w:val="28"/>
          <w:shd w:val="clear" w:color="auto" w:fill="FFFFFF"/>
        </w:rPr>
      </w:pPr>
    </w:p>
    <w:p w14:paraId="1B88B4AE" w14:textId="77777777" w:rsidR="00CC7EB4" w:rsidRPr="00644C3F" w:rsidRDefault="00CC7EB4" w:rsidP="00CC7EB4">
      <w:pPr>
        <w:spacing w:after="160" w:line="360" w:lineRule="auto"/>
        <w:jc w:val="center"/>
        <w:rPr>
          <w:rFonts w:ascii="Arial" w:hAnsi="Arial" w:cs="Arial"/>
          <w:b/>
          <w:bCs/>
          <w:color w:val="202122"/>
          <w:sz w:val="28"/>
          <w:szCs w:val="28"/>
          <w:shd w:val="clear" w:color="auto" w:fill="FFFFFF"/>
        </w:rPr>
      </w:pPr>
      <w:r>
        <w:rPr>
          <w:rFonts w:ascii="Arial" w:hAnsi="Arial" w:cs="Arial"/>
          <w:b/>
          <w:bCs/>
          <w:color w:val="202122"/>
          <w:sz w:val="28"/>
          <w:szCs w:val="28"/>
          <w:shd w:val="clear" w:color="auto" w:fill="FFFFFF"/>
        </w:rPr>
        <w:t>TABLE OF CONTENTS</w:t>
      </w:r>
    </w:p>
    <w:p w14:paraId="66882524" w14:textId="77777777" w:rsidR="00CC7EB4" w:rsidRPr="002733B2" w:rsidRDefault="00CC7EB4" w:rsidP="00CC7EB4">
      <w:pPr>
        <w:spacing w:after="160" w:line="360" w:lineRule="auto"/>
        <w:rPr>
          <w:rFonts w:ascii="Arial" w:hAnsi="Arial" w:cs="Arial"/>
          <w:color w:val="202122"/>
          <w:shd w:val="clear" w:color="auto" w:fill="FFFFFF"/>
        </w:rPr>
      </w:pPr>
      <w:r w:rsidRPr="002733B2">
        <w:rPr>
          <w:rFonts w:ascii="Arial" w:hAnsi="Arial" w:cs="Arial"/>
          <w:i/>
          <w:iCs/>
          <w:color w:val="202122"/>
          <w:shd w:val="clear" w:color="auto" w:fill="FFFFFF"/>
        </w:rPr>
        <w:t>Introduction</w:t>
      </w:r>
      <w:r>
        <w:rPr>
          <w:rFonts w:ascii="Arial" w:hAnsi="Arial" w:cs="Arial"/>
          <w:i/>
          <w:iCs/>
          <w:color w:val="202122"/>
          <w:shd w:val="clear" w:color="auto" w:fill="FFFFFF"/>
        </w:rPr>
        <w:t>………………………………………………………………………………</w:t>
      </w:r>
      <w:r>
        <w:rPr>
          <w:rFonts w:ascii="Arial" w:hAnsi="Arial" w:cs="Arial"/>
          <w:i/>
          <w:iCs/>
          <w:color w:val="202122"/>
          <w:shd w:val="clear" w:color="auto" w:fill="FFFFFF"/>
        </w:rPr>
        <w:tab/>
      </w:r>
      <w:r w:rsidRPr="002733B2">
        <w:rPr>
          <w:rFonts w:ascii="Arial" w:hAnsi="Arial" w:cs="Arial"/>
          <w:color w:val="202122"/>
          <w:shd w:val="clear" w:color="auto" w:fill="FFFFFF"/>
        </w:rPr>
        <w:t>1</w:t>
      </w:r>
    </w:p>
    <w:p w14:paraId="1005BD2F" w14:textId="77777777" w:rsidR="00CC7EB4" w:rsidRPr="002733B2" w:rsidRDefault="00CC7EB4" w:rsidP="00CC7EB4">
      <w:pPr>
        <w:spacing w:after="160" w:line="360" w:lineRule="auto"/>
        <w:rPr>
          <w:rFonts w:ascii="Arial" w:hAnsi="Arial" w:cs="Arial"/>
          <w:color w:val="202122"/>
          <w:shd w:val="clear" w:color="auto" w:fill="FFFFFF"/>
        </w:rPr>
      </w:pPr>
      <w:r w:rsidRPr="002733B2">
        <w:rPr>
          <w:rFonts w:ascii="Arial" w:hAnsi="Arial" w:cs="Arial"/>
          <w:i/>
          <w:iCs/>
          <w:color w:val="202122"/>
          <w:shd w:val="clear" w:color="auto" w:fill="FFFFFF"/>
        </w:rPr>
        <w:t>Chapter 1: Introduction to standard form contracts</w:t>
      </w:r>
      <w:r>
        <w:rPr>
          <w:rFonts w:ascii="Arial" w:hAnsi="Arial" w:cs="Arial"/>
          <w:i/>
          <w:iCs/>
          <w:color w:val="202122"/>
          <w:shd w:val="clear" w:color="auto" w:fill="FFFFFF"/>
        </w:rPr>
        <w:t>………………………………….</w:t>
      </w:r>
      <w:r>
        <w:rPr>
          <w:rFonts w:ascii="Arial" w:hAnsi="Arial" w:cs="Arial"/>
          <w:i/>
          <w:iCs/>
          <w:color w:val="202122"/>
          <w:shd w:val="clear" w:color="auto" w:fill="FFFFFF"/>
        </w:rPr>
        <w:tab/>
      </w:r>
      <w:r>
        <w:rPr>
          <w:rFonts w:ascii="Arial" w:hAnsi="Arial" w:cs="Arial"/>
          <w:color w:val="202122"/>
          <w:shd w:val="clear" w:color="auto" w:fill="FFFFFF"/>
        </w:rPr>
        <w:t>3</w:t>
      </w:r>
    </w:p>
    <w:p w14:paraId="47376527" w14:textId="77777777" w:rsidR="00CC7EB4" w:rsidRPr="002733B2" w:rsidRDefault="00CC7EB4" w:rsidP="00CC7EB4">
      <w:pPr>
        <w:spacing w:after="160" w:line="360" w:lineRule="auto"/>
        <w:rPr>
          <w:rFonts w:ascii="Arial" w:hAnsi="Arial" w:cs="Arial"/>
          <w:color w:val="202122"/>
          <w:shd w:val="clear" w:color="auto" w:fill="FFFFFF"/>
        </w:rPr>
      </w:pPr>
      <w:r w:rsidRPr="00962DB0">
        <w:rPr>
          <w:rFonts w:ascii="Arial" w:hAnsi="Arial" w:cs="Arial"/>
          <w:color w:val="202122"/>
          <w:shd w:val="clear" w:color="auto" w:fill="FFFFFF"/>
        </w:rPr>
        <w:t xml:space="preserve">I </w:t>
      </w:r>
      <w:r w:rsidRPr="00962DB0">
        <w:rPr>
          <w:rFonts w:ascii="Arial" w:hAnsi="Arial" w:cs="Arial"/>
          <w:i/>
          <w:iCs/>
          <w:color w:val="202122"/>
          <w:shd w:val="clear" w:color="auto" w:fill="FFFFFF"/>
        </w:rPr>
        <w:t xml:space="preserve"> </w:t>
      </w:r>
      <w:r>
        <w:rPr>
          <w:rFonts w:ascii="Arial" w:hAnsi="Arial" w:cs="Arial"/>
          <w:i/>
          <w:iCs/>
          <w:color w:val="202122"/>
          <w:shd w:val="clear" w:color="auto" w:fill="FFFFFF"/>
        </w:rPr>
        <w:t xml:space="preserve">   </w:t>
      </w:r>
      <w:r w:rsidRPr="002733B2">
        <w:rPr>
          <w:rFonts w:ascii="Arial" w:hAnsi="Arial" w:cs="Arial"/>
          <w:color w:val="202122"/>
          <w:shd w:val="clear" w:color="auto" w:fill="FFFFFF"/>
        </w:rPr>
        <w:t>What is a standard form contract?</w:t>
      </w:r>
      <w:r>
        <w:rPr>
          <w:rFonts w:ascii="Arial" w:hAnsi="Arial" w:cs="Arial"/>
          <w:color w:val="202122"/>
          <w:shd w:val="clear" w:color="auto" w:fill="FFFFFF"/>
        </w:rPr>
        <w:t>..................................................................</w:t>
      </w:r>
      <w:r>
        <w:rPr>
          <w:rFonts w:ascii="Arial" w:hAnsi="Arial" w:cs="Arial"/>
          <w:color w:val="202122"/>
          <w:shd w:val="clear" w:color="auto" w:fill="FFFFFF"/>
        </w:rPr>
        <w:tab/>
        <w:t>3</w:t>
      </w:r>
    </w:p>
    <w:p w14:paraId="33306209" w14:textId="77777777" w:rsidR="00CC7EB4" w:rsidRPr="002733B2" w:rsidRDefault="00CC7EB4" w:rsidP="00CC7EB4">
      <w:pPr>
        <w:spacing w:after="160" w:line="360" w:lineRule="auto"/>
        <w:rPr>
          <w:rFonts w:ascii="Arial" w:hAnsi="Arial" w:cs="Arial"/>
          <w:color w:val="202122"/>
          <w:shd w:val="clear" w:color="auto" w:fill="FFFFFF"/>
        </w:rPr>
      </w:pPr>
      <w:r w:rsidRPr="00962DB0">
        <w:rPr>
          <w:rFonts w:ascii="Arial" w:hAnsi="Arial" w:cs="Arial"/>
          <w:color w:val="202122"/>
          <w:shd w:val="clear" w:color="auto" w:fill="FFFFFF"/>
        </w:rPr>
        <w:t xml:space="preserve">II </w:t>
      </w:r>
      <w:r>
        <w:rPr>
          <w:rFonts w:ascii="Arial" w:hAnsi="Arial" w:cs="Arial"/>
          <w:i/>
          <w:iCs/>
          <w:color w:val="202122"/>
          <w:shd w:val="clear" w:color="auto" w:fill="FFFFFF"/>
        </w:rPr>
        <w:t xml:space="preserve">   </w:t>
      </w:r>
      <w:r w:rsidRPr="002733B2">
        <w:rPr>
          <w:rFonts w:ascii="Arial" w:hAnsi="Arial" w:cs="Arial"/>
          <w:color w:val="202122"/>
          <w:shd w:val="clear" w:color="auto" w:fill="FFFFFF"/>
        </w:rPr>
        <w:t>Common problems with standard form contracts</w:t>
      </w:r>
      <w:r>
        <w:rPr>
          <w:rFonts w:ascii="Arial" w:hAnsi="Arial" w:cs="Arial"/>
          <w:color w:val="202122"/>
          <w:shd w:val="clear" w:color="auto" w:fill="FFFFFF"/>
        </w:rPr>
        <w:t>………………………………</w:t>
      </w:r>
      <w:r>
        <w:rPr>
          <w:rFonts w:ascii="Arial" w:hAnsi="Arial" w:cs="Arial"/>
          <w:color w:val="202122"/>
          <w:shd w:val="clear" w:color="auto" w:fill="FFFFFF"/>
        </w:rPr>
        <w:tab/>
        <w:t>7</w:t>
      </w:r>
    </w:p>
    <w:p w14:paraId="622DB714" w14:textId="77777777" w:rsidR="00CC7EB4" w:rsidRPr="002733B2" w:rsidRDefault="00CC7EB4" w:rsidP="00CC7EB4">
      <w:pPr>
        <w:spacing w:after="160" w:line="360" w:lineRule="auto"/>
        <w:rPr>
          <w:rFonts w:ascii="Arial" w:hAnsi="Arial" w:cs="Arial"/>
          <w:color w:val="202122"/>
          <w:shd w:val="clear" w:color="auto" w:fill="FFFFFF"/>
        </w:rPr>
      </w:pPr>
      <w:r w:rsidRPr="00962DB0">
        <w:rPr>
          <w:rFonts w:ascii="Arial" w:hAnsi="Arial" w:cs="Arial"/>
          <w:color w:val="202122"/>
          <w:shd w:val="clear" w:color="auto" w:fill="FFFFFF"/>
        </w:rPr>
        <w:t xml:space="preserve">III </w:t>
      </w:r>
      <w:r>
        <w:rPr>
          <w:rFonts w:ascii="Arial" w:hAnsi="Arial" w:cs="Arial"/>
          <w:i/>
          <w:iCs/>
          <w:color w:val="202122"/>
          <w:shd w:val="clear" w:color="auto" w:fill="FFFFFF"/>
        </w:rPr>
        <w:t xml:space="preserve">  </w:t>
      </w:r>
      <w:r w:rsidRPr="002733B2">
        <w:rPr>
          <w:rFonts w:ascii="Arial" w:hAnsi="Arial" w:cs="Arial"/>
          <w:color w:val="202122"/>
          <w:shd w:val="clear" w:color="auto" w:fill="FFFFFF"/>
        </w:rPr>
        <w:t>History of standard form contracts</w:t>
      </w:r>
      <w:r>
        <w:rPr>
          <w:rFonts w:ascii="Arial" w:hAnsi="Arial" w:cs="Arial"/>
          <w:color w:val="202122"/>
          <w:shd w:val="clear" w:color="auto" w:fill="FFFFFF"/>
        </w:rPr>
        <w:t>……………………………………………….</w:t>
      </w:r>
      <w:r>
        <w:rPr>
          <w:rFonts w:ascii="Arial" w:hAnsi="Arial" w:cs="Arial"/>
          <w:color w:val="202122"/>
          <w:shd w:val="clear" w:color="auto" w:fill="FFFFFF"/>
        </w:rPr>
        <w:tab/>
        <w:t>8</w:t>
      </w:r>
    </w:p>
    <w:p w14:paraId="0ED562DE" w14:textId="77777777" w:rsidR="00CC7EB4" w:rsidRPr="002142CB" w:rsidRDefault="00CC7EB4" w:rsidP="00CC7EB4">
      <w:pPr>
        <w:spacing w:after="160" w:line="360" w:lineRule="auto"/>
        <w:rPr>
          <w:rFonts w:ascii="Arial" w:hAnsi="Arial" w:cs="Arial"/>
          <w:color w:val="202122"/>
          <w:shd w:val="clear" w:color="auto" w:fill="FFFFFF"/>
        </w:rPr>
      </w:pPr>
      <w:r w:rsidRPr="002733B2">
        <w:rPr>
          <w:rFonts w:ascii="Arial" w:hAnsi="Arial" w:cs="Arial"/>
          <w:i/>
          <w:iCs/>
          <w:color w:val="202122"/>
          <w:shd w:val="clear" w:color="auto" w:fill="FFFFFF"/>
        </w:rPr>
        <w:t>Chapter 2: How has the law reckoned with standard form contracts?</w:t>
      </w:r>
      <w:r>
        <w:rPr>
          <w:rFonts w:ascii="Arial" w:hAnsi="Arial" w:cs="Arial"/>
          <w:i/>
          <w:iCs/>
          <w:color w:val="202122"/>
          <w:shd w:val="clear" w:color="auto" w:fill="FFFFFF"/>
        </w:rPr>
        <w:t>...................</w:t>
      </w:r>
      <w:r>
        <w:rPr>
          <w:rFonts w:ascii="Arial" w:hAnsi="Arial" w:cs="Arial"/>
          <w:i/>
          <w:iCs/>
          <w:color w:val="202122"/>
          <w:shd w:val="clear" w:color="auto" w:fill="FFFFFF"/>
        </w:rPr>
        <w:tab/>
      </w:r>
      <w:r w:rsidRPr="00DA7395">
        <w:rPr>
          <w:rFonts w:ascii="Arial" w:hAnsi="Arial" w:cs="Arial"/>
          <w:color w:val="202122"/>
          <w:shd w:val="clear" w:color="auto" w:fill="FFFFFF"/>
        </w:rPr>
        <w:t>12</w:t>
      </w:r>
    </w:p>
    <w:p w14:paraId="2B3EA801" w14:textId="77777777" w:rsidR="00CC7EB4" w:rsidRPr="002733B2" w:rsidRDefault="00CC7EB4" w:rsidP="00CC7EB4">
      <w:pPr>
        <w:spacing w:after="160" w:line="360" w:lineRule="auto"/>
        <w:rPr>
          <w:rFonts w:ascii="Arial" w:hAnsi="Arial" w:cs="Arial"/>
          <w:color w:val="202122"/>
          <w:shd w:val="clear" w:color="auto" w:fill="FFFFFF"/>
        </w:rPr>
      </w:pPr>
      <w:r>
        <w:rPr>
          <w:rFonts w:ascii="Arial" w:hAnsi="Arial" w:cs="Arial"/>
          <w:color w:val="202122"/>
          <w:shd w:val="clear" w:color="auto" w:fill="FFFFFF"/>
        </w:rPr>
        <w:t xml:space="preserve">I    </w:t>
      </w:r>
      <w:r w:rsidRPr="002733B2">
        <w:rPr>
          <w:rFonts w:ascii="Arial" w:hAnsi="Arial" w:cs="Arial"/>
          <w:color w:val="202122"/>
          <w:shd w:val="clear" w:color="auto" w:fill="FFFFFF"/>
        </w:rPr>
        <w:t>Unconscionability</w:t>
      </w:r>
      <w:r>
        <w:rPr>
          <w:rFonts w:ascii="Arial" w:hAnsi="Arial" w:cs="Arial"/>
          <w:color w:val="202122"/>
          <w:shd w:val="clear" w:color="auto" w:fill="FFFFFF"/>
        </w:rPr>
        <w:t>…………………………………………………………………..</w:t>
      </w:r>
      <w:r>
        <w:rPr>
          <w:rFonts w:ascii="Arial" w:hAnsi="Arial" w:cs="Arial"/>
          <w:color w:val="202122"/>
          <w:shd w:val="clear" w:color="auto" w:fill="FFFFFF"/>
        </w:rPr>
        <w:tab/>
        <w:t>12</w:t>
      </w:r>
    </w:p>
    <w:p w14:paraId="1DC00189" w14:textId="77777777" w:rsidR="00CC7EB4" w:rsidRDefault="00CC7EB4" w:rsidP="00CC7EB4">
      <w:pPr>
        <w:spacing w:after="160" w:line="360" w:lineRule="auto"/>
        <w:rPr>
          <w:rFonts w:ascii="Arial" w:hAnsi="Arial" w:cs="Arial"/>
          <w:color w:val="202122"/>
          <w:shd w:val="clear" w:color="auto" w:fill="FFFFFF"/>
        </w:rPr>
      </w:pPr>
      <w:r>
        <w:rPr>
          <w:rFonts w:ascii="Arial" w:hAnsi="Arial" w:cs="Arial"/>
          <w:color w:val="202122"/>
          <w:shd w:val="clear" w:color="auto" w:fill="FFFFFF"/>
        </w:rPr>
        <w:t>A   E</w:t>
      </w:r>
      <w:r w:rsidRPr="002733B2">
        <w:rPr>
          <w:rFonts w:ascii="Arial" w:hAnsi="Arial" w:cs="Arial"/>
          <w:color w:val="202122"/>
          <w:shd w:val="clear" w:color="auto" w:fill="FFFFFF"/>
        </w:rPr>
        <w:t>xpansion of</w:t>
      </w:r>
      <w:r>
        <w:rPr>
          <w:rFonts w:ascii="Arial" w:hAnsi="Arial" w:cs="Arial"/>
          <w:color w:val="202122"/>
          <w:shd w:val="clear" w:color="auto" w:fill="FFFFFF"/>
        </w:rPr>
        <w:t xml:space="preserve"> u</w:t>
      </w:r>
      <w:r w:rsidRPr="002733B2">
        <w:rPr>
          <w:rFonts w:ascii="Arial" w:hAnsi="Arial" w:cs="Arial"/>
          <w:color w:val="202122"/>
          <w:shd w:val="clear" w:color="auto" w:fill="FFFFFF"/>
        </w:rPr>
        <w:t>nconscion</w:t>
      </w:r>
      <w:r>
        <w:rPr>
          <w:rFonts w:ascii="Arial" w:hAnsi="Arial" w:cs="Arial"/>
          <w:color w:val="202122"/>
          <w:shd w:val="clear" w:color="auto" w:fill="FFFFFF"/>
        </w:rPr>
        <w:t>ability........................................................................</w:t>
      </w:r>
      <w:r>
        <w:rPr>
          <w:rFonts w:ascii="Arial" w:hAnsi="Arial" w:cs="Arial"/>
          <w:color w:val="202122"/>
          <w:shd w:val="clear" w:color="auto" w:fill="FFFFFF"/>
        </w:rPr>
        <w:tab/>
        <w:t>15</w:t>
      </w:r>
    </w:p>
    <w:p w14:paraId="6A07B012" w14:textId="77777777" w:rsidR="00CC7EB4" w:rsidRDefault="00CC7EB4" w:rsidP="00CC7EB4">
      <w:pPr>
        <w:spacing w:after="160" w:line="360" w:lineRule="auto"/>
        <w:rPr>
          <w:rFonts w:ascii="Arial" w:hAnsi="Arial" w:cs="Arial"/>
          <w:color w:val="202122"/>
          <w:shd w:val="clear" w:color="auto" w:fill="FFFFFF"/>
        </w:rPr>
      </w:pPr>
      <w:r>
        <w:rPr>
          <w:rFonts w:ascii="Arial" w:hAnsi="Arial" w:cs="Arial"/>
          <w:color w:val="202122"/>
          <w:shd w:val="clear" w:color="auto" w:fill="FFFFFF"/>
        </w:rPr>
        <w:t>II   Unfair contract terms regime………………………………………………………</w:t>
      </w:r>
      <w:r>
        <w:rPr>
          <w:rFonts w:ascii="Arial" w:hAnsi="Arial" w:cs="Arial"/>
          <w:color w:val="202122"/>
          <w:shd w:val="clear" w:color="auto" w:fill="FFFFFF"/>
        </w:rPr>
        <w:tab/>
        <w:t>19</w:t>
      </w:r>
    </w:p>
    <w:p w14:paraId="43FA916F" w14:textId="77777777" w:rsidR="00CC7EB4" w:rsidRDefault="00CC7EB4" w:rsidP="00CC7EB4">
      <w:pPr>
        <w:spacing w:after="160" w:line="360" w:lineRule="auto"/>
        <w:rPr>
          <w:rFonts w:ascii="Arial" w:hAnsi="Arial" w:cs="Arial"/>
          <w:color w:val="202122"/>
          <w:shd w:val="clear" w:color="auto" w:fill="FFFFFF"/>
        </w:rPr>
      </w:pPr>
      <w:r>
        <w:rPr>
          <w:rFonts w:ascii="Arial" w:hAnsi="Arial" w:cs="Arial"/>
          <w:color w:val="202122"/>
          <w:shd w:val="clear" w:color="auto" w:fill="FFFFFF"/>
        </w:rPr>
        <w:t>A   Transparency requirement?.............................................................................</w:t>
      </w:r>
      <w:r>
        <w:rPr>
          <w:rFonts w:ascii="Arial" w:hAnsi="Arial" w:cs="Arial"/>
          <w:color w:val="202122"/>
          <w:shd w:val="clear" w:color="auto" w:fill="FFFFFF"/>
        </w:rPr>
        <w:tab/>
        <w:t>21</w:t>
      </w:r>
    </w:p>
    <w:p w14:paraId="7EAA2291" w14:textId="77777777" w:rsidR="00CC7EB4" w:rsidRDefault="00CC7EB4" w:rsidP="00CC7EB4">
      <w:pPr>
        <w:spacing w:after="160" w:line="360" w:lineRule="auto"/>
        <w:rPr>
          <w:rFonts w:ascii="Arial" w:hAnsi="Arial" w:cs="Arial"/>
          <w:color w:val="202122"/>
          <w:shd w:val="clear" w:color="auto" w:fill="FFFFFF"/>
        </w:rPr>
      </w:pPr>
      <w:r>
        <w:rPr>
          <w:rFonts w:ascii="Arial" w:hAnsi="Arial" w:cs="Arial"/>
          <w:color w:val="202122"/>
          <w:shd w:val="clear" w:color="auto" w:fill="FFFFFF"/>
        </w:rPr>
        <w:t>B   Blanket assent……………………………………………………………………...</w:t>
      </w:r>
      <w:r>
        <w:rPr>
          <w:rFonts w:ascii="Arial" w:hAnsi="Arial" w:cs="Arial"/>
          <w:color w:val="202122"/>
          <w:shd w:val="clear" w:color="auto" w:fill="FFFFFF"/>
        </w:rPr>
        <w:tab/>
        <w:t>23</w:t>
      </w:r>
    </w:p>
    <w:p w14:paraId="5FFD0D4F" w14:textId="77777777" w:rsidR="00CC7EB4" w:rsidRDefault="00CC7EB4" w:rsidP="00CC7EB4">
      <w:pPr>
        <w:spacing w:after="160" w:line="360" w:lineRule="auto"/>
        <w:rPr>
          <w:rFonts w:ascii="Arial" w:hAnsi="Arial" w:cs="Arial"/>
          <w:color w:val="202122"/>
          <w:shd w:val="clear" w:color="auto" w:fill="FFFFFF"/>
        </w:rPr>
      </w:pPr>
      <w:r>
        <w:rPr>
          <w:rFonts w:ascii="Arial" w:hAnsi="Arial" w:cs="Arial"/>
          <w:i/>
          <w:iCs/>
          <w:color w:val="202122"/>
          <w:shd w:val="clear" w:color="auto" w:fill="FFFFFF"/>
        </w:rPr>
        <w:t>Chapter 3: The myth of consent………………………………………………………</w:t>
      </w:r>
      <w:r>
        <w:rPr>
          <w:rFonts w:ascii="Arial" w:hAnsi="Arial" w:cs="Arial"/>
          <w:i/>
          <w:iCs/>
          <w:color w:val="202122"/>
          <w:shd w:val="clear" w:color="auto" w:fill="FFFFFF"/>
        </w:rPr>
        <w:tab/>
      </w:r>
      <w:r>
        <w:rPr>
          <w:rFonts w:ascii="Arial" w:hAnsi="Arial" w:cs="Arial"/>
          <w:color w:val="202122"/>
          <w:shd w:val="clear" w:color="auto" w:fill="FFFFFF"/>
        </w:rPr>
        <w:t>24</w:t>
      </w:r>
    </w:p>
    <w:p w14:paraId="09F47A7A" w14:textId="77777777" w:rsidR="00CC7EB4" w:rsidRDefault="00CC7EB4" w:rsidP="00CC7EB4">
      <w:pPr>
        <w:spacing w:after="160" w:line="360" w:lineRule="auto"/>
        <w:rPr>
          <w:rFonts w:ascii="Arial" w:hAnsi="Arial" w:cs="Arial"/>
          <w:color w:val="202122"/>
          <w:shd w:val="clear" w:color="auto" w:fill="FFFFFF"/>
        </w:rPr>
      </w:pPr>
      <w:r>
        <w:rPr>
          <w:rFonts w:ascii="Arial" w:hAnsi="Arial" w:cs="Arial"/>
          <w:color w:val="202122"/>
          <w:shd w:val="clear" w:color="auto" w:fill="FFFFFF"/>
        </w:rPr>
        <w:t>I    Consent……………………………………………………………………………….</w:t>
      </w:r>
      <w:r>
        <w:rPr>
          <w:rFonts w:ascii="Arial" w:hAnsi="Arial" w:cs="Arial"/>
          <w:color w:val="202122"/>
          <w:shd w:val="clear" w:color="auto" w:fill="FFFFFF"/>
        </w:rPr>
        <w:tab/>
        <w:t>25</w:t>
      </w:r>
    </w:p>
    <w:p w14:paraId="030B4795" w14:textId="77777777" w:rsidR="00CC7EB4" w:rsidRDefault="00CC7EB4" w:rsidP="00CC7EB4">
      <w:pPr>
        <w:spacing w:after="160" w:line="360" w:lineRule="auto"/>
        <w:rPr>
          <w:rFonts w:ascii="Arial" w:hAnsi="Arial" w:cs="Arial"/>
          <w:color w:val="202122"/>
          <w:shd w:val="clear" w:color="auto" w:fill="FFFFFF"/>
        </w:rPr>
      </w:pPr>
      <w:r>
        <w:rPr>
          <w:rFonts w:ascii="Arial" w:hAnsi="Arial" w:cs="Arial"/>
          <w:color w:val="202122"/>
          <w:shd w:val="clear" w:color="auto" w:fill="FFFFFF"/>
        </w:rPr>
        <w:t>II   The increasing unfriendliness of contract…………………………………………</w:t>
      </w:r>
      <w:r>
        <w:rPr>
          <w:rFonts w:ascii="Arial" w:hAnsi="Arial" w:cs="Arial"/>
          <w:color w:val="202122"/>
          <w:shd w:val="clear" w:color="auto" w:fill="FFFFFF"/>
        </w:rPr>
        <w:tab/>
        <w:t>26</w:t>
      </w:r>
    </w:p>
    <w:p w14:paraId="62C5C783" w14:textId="77777777" w:rsidR="00CC7EB4" w:rsidRDefault="00CC7EB4" w:rsidP="00CC7EB4">
      <w:pPr>
        <w:spacing w:after="160" w:line="360" w:lineRule="auto"/>
        <w:rPr>
          <w:rFonts w:ascii="Arial" w:hAnsi="Arial" w:cs="Arial"/>
          <w:color w:val="202122"/>
          <w:shd w:val="clear" w:color="auto" w:fill="FFFFFF"/>
        </w:rPr>
      </w:pPr>
      <w:r>
        <w:rPr>
          <w:rFonts w:ascii="Arial" w:hAnsi="Arial" w:cs="Arial"/>
          <w:i/>
          <w:iCs/>
          <w:color w:val="202122"/>
          <w:shd w:val="clear" w:color="auto" w:fill="FFFFFF"/>
        </w:rPr>
        <w:t>Chapter 4: Improving consent………………………………………………………...</w:t>
      </w:r>
      <w:r>
        <w:rPr>
          <w:rFonts w:ascii="Arial" w:hAnsi="Arial" w:cs="Arial"/>
          <w:i/>
          <w:iCs/>
          <w:color w:val="202122"/>
          <w:shd w:val="clear" w:color="auto" w:fill="FFFFFF"/>
        </w:rPr>
        <w:tab/>
      </w:r>
      <w:r>
        <w:rPr>
          <w:rFonts w:ascii="Arial" w:hAnsi="Arial" w:cs="Arial"/>
          <w:color w:val="202122"/>
          <w:shd w:val="clear" w:color="auto" w:fill="FFFFFF"/>
        </w:rPr>
        <w:t>28</w:t>
      </w:r>
    </w:p>
    <w:p w14:paraId="5883E91F" w14:textId="77777777" w:rsidR="00CC7EB4" w:rsidRDefault="00CC7EB4" w:rsidP="00CC7EB4">
      <w:pPr>
        <w:spacing w:after="160" w:line="360" w:lineRule="auto"/>
        <w:rPr>
          <w:rFonts w:ascii="Arial" w:hAnsi="Arial" w:cs="Arial"/>
          <w:color w:val="202122"/>
          <w:shd w:val="clear" w:color="auto" w:fill="FFFFFF"/>
        </w:rPr>
      </w:pPr>
      <w:r>
        <w:rPr>
          <w:rFonts w:ascii="Arial" w:hAnsi="Arial" w:cs="Arial"/>
          <w:color w:val="202122"/>
          <w:shd w:val="clear" w:color="auto" w:fill="FFFFFF"/>
        </w:rPr>
        <w:t>I    Improved disclosure………………………...………………………………………</w:t>
      </w:r>
      <w:r>
        <w:rPr>
          <w:rFonts w:ascii="Arial" w:hAnsi="Arial" w:cs="Arial"/>
          <w:color w:val="202122"/>
          <w:shd w:val="clear" w:color="auto" w:fill="FFFFFF"/>
        </w:rPr>
        <w:tab/>
        <w:t>29</w:t>
      </w:r>
    </w:p>
    <w:p w14:paraId="579336C2" w14:textId="77777777" w:rsidR="00CC7EB4" w:rsidRDefault="00CC7EB4" w:rsidP="00CC7EB4">
      <w:pPr>
        <w:spacing w:after="160" w:line="360" w:lineRule="auto"/>
        <w:rPr>
          <w:rFonts w:ascii="Arial" w:hAnsi="Arial" w:cs="Arial"/>
          <w:color w:val="202122"/>
          <w:shd w:val="clear" w:color="auto" w:fill="FFFFFF"/>
        </w:rPr>
      </w:pPr>
      <w:r>
        <w:rPr>
          <w:rFonts w:ascii="Arial" w:hAnsi="Arial" w:cs="Arial"/>
          <w:color w:val="202122"/>
          <w:shd w:val="clear" w:color="auto" w:fill="FFFFFF"/>
        </w:rPr>
        <w:t>A   How should disclosure work?...........................................................................</w:t>
      </w:r>
      <w:r>
        <w:rPr>
          <w:rFonts w:ascii="Arial" w:hAnsi="Arial" w:cs="Arial"/>
          <w:color w:val="202122"/>
          <w:shd w:val="clear" w:color="auto" w:fill="FFFFFF"/>
        </w:rPr>
        <w:tab/>
        <w:t>31</w:t>
      </w:r>
    </w:p>
    <w:p w14:paraId="45A88AEA" w14:textId="77777777" w:rsidR="00CC7EB4" w:rsidRDefault="00CC7EB4" w:rsidP="00CC7EB4">
      <w:pPr>
        <w:spacing w:after="160" w:line="360" w:lineRule="auto"/>
        <w:rPr>
          <w:rFonts w:ascii="Arial" w:hAnsi="Arial" w:cs="Arial"/>
          <w:color w:val="202122"/>
          <w:shd w:val="clear" w:color="auto" w:fill="FFFFFF"/>
        </w:rPr>
      </w:pPr>
      <w:r>
        <w:rPr>
          <w:rFonts w:ascii="Arial" w:hAnsi="Arial" w:cs="Arial"/>
          <w:color w:val="202122"/>
          <w:shd w:val="clear" w:color="auto" w:fill="FFFFFF"/>
        </w:rPr>
        <w:t>B   Reflection on disclosure’s critics……………………………..……………………</w:t>
      </w:r>
      <w:r>
        <w:rPr>
          <w:rFonts w:ascii="Arial" w:hAnsi="Arial" w:cs="Arial"/>
          <w:color w:val="202122"/>
          <w:shd w:val="clear" w:color="auto" w:fill="FFFFFF"/>
        </w:rPr>
        <w:tab/>
        <w:t>34</w:t>
      </w:r>
    </w:p>
    <w:p w14:paraId="6DE6160F" w14:textId="77777777" w:rsidR="00CC7EB4" w:rsidRDefault="00CC7EB4" w:rsidP="00CC7EB4">
      <w:pPr>
        <w:spacing w:after="160" w:line="360" w:lineRule="auto"/>
        <w:rPr>
          <w:rFonts w:ascii="Arial" w:hAnsi="Arial" w:cs="Arial"/>
          <w:color w:val="202122"/>
          <w:shd w:val="clear" w:color="auto" w:fill="FFFFFF"/>
        </w:rPr>
      </w:pPr>
      <w:r>
        <w:rPr>
          <w:rFonts w:ascii="Arial" w:hAnsi="Arial" w:cs="Arial"/>
          <w:color w:val="202122"/>
          <w:shd w:val="clear" w:color="auto" w:fill="FFFFFF"/>
        </w:rPr>
        <w:t>C   Disclosure as a nudge for the discloser……….…………………………………</w:t>
      </w:r>
      <w:r>
        <w:rPr>
          <w:rFonts w:ascii="Arial" w:hAnsi="Arial" w:cs="Arial"/>
          <w:color w:val="202122"/>
          <w:shd w:val="clear" w:color="auto" w:fill="FFFFFF"/>
        </w:rPr>
        <w:tab/>
        <w:t>37</w:t>
      </w:r>
    </w:p>
    <w:p w14:paraId="2EE94299" w14:textId="77777777" w:rsidR="00CC7EB4" w:rsidRDefault="00CC7EB4" w:rsidP="00CC7EB4">
      <w:pPr>
        <w:spacing w:after="160" w:line="360" w:lineRule="auto"/>
        <w:rPr>
          <w:rFonts w:ascii="Arial" w:hAnsi="Arial" w:cs="Arial"/>
          <w:color w:val="202122"/>
          <w:shd w:val="clear" w:color="auto" w:fill="FFFFFF"/>
        </w:rPr>
      </w:pPr>
      <w:r>
        <w:rPr>
          <w:rFonts w:ascii="Arial" w:hAnsi="Arial" w:cs="Arial"/>
          <w:color w:val="202122"/>
          <w:shd w:val="clear" w:color="auto" w:fill="FFFFFF"/>
        </w:rPr>
        <w:t>D   A caveat to the above……………………..……………………………………….</w:t>
      </w:r>
      <w:r>
        <w:rPr>
          <w:rFonts w:ascii="Arial" w:hAnsi="Arial" w:cs="Arial"/>
          <w:color w:val="202122"/>
          <w:shd w:val="clear" w:color="auto" w:fill="FFFFFF"/>
        </w:rPr>
        <w:tab/>
        <w:t>37</w:t>
      </w:r>
    </w:p>
    <w:p w14:paraId="45ACB8E1" w14:textId="77777777" w:rsidR="00CC7EB4" w:rsidRDefault="00CC7EB4" w:rsidP="00CC7EB4">
      <w:pPr>
        <w:spacing w:after="160" w:line="360" w:lineRule="auto"/>
        <w:rPr>
          <w:rFonts w:ascii="Arial" w:hAnsi="Arial" w:cs="Arial"/>
          <w:color w:val="202122"/>
          <w:shd w:val="clear" w:color="auto" w:fill="FFFFFF"/>
        </w:rPr>
      </w:pPr>
      <w:r w:rsidRPr="006F53A3">
        <w:rPr>
          <w:rFonts w:ascii="Arial" w:hAnsi="Arial" w:cs="Arial"/>
          <w:i/>
          <w:iCs/>
          <w:color w:val="202122"/>
          <w:shd w:val="clear" w:color="auto" w:fill="FFFFFF"/>
        </w:rPr>
        <w:t>Conclusion</w:t>
      </w:r>
      <w:r>
        <w:rPr>
          <w:rFonts w:ascii="Arial" w:hAnsi="Arial" w:cs="Arial"/>
          <w:i/>
          <w:iCs/>
          <w:color w:val="202122"/>
          <w:shd w:val="clear" w:color="auto" w:fill="FFFFFF"/>
        </w:rPr>
        <w:t>………………………………………………………………………………</w:t>
      </w:r>
      <w:r>
        <w:rPr>
          <w:rFonts w:ascii="Arial" w:hAnsi="Arial" w:cs="Arial"/>
          <w:i/>
          <w:iCs/>
          <w:color w:val="202122"/>
          <w:shd w:val="clear" w:color="auto" w:fill="FFFFFF"/>
        </w:rPr>
        <w:tab/>
      </w:r>
      <w:r>
        <w:rPr>
          <w:rFonts w:ascii="Arial" w:hAnsi="Arial" w:cs="Arial"/>
          <w:color w:val="202122"/>
          <w:shd w:val="clear" w:color="auto" w:fill="FFFFFF"/>
        </w:rPr>
        <w:t>38</w:t>
      </w:r>
    </w:p>
    <w:p w14:paraId="0E3D6CA7" w14:textId="77777777" w:rsidR="00CC7EB4" w:rsidRPr="00DA7395" w:rsidRDefault="00CC7EB4" w:rsidP="00CC7EB4">
      <w:pPr>
        <w:spacing w:after="160" w:line="360" w:lineRule="auto"/>
        <w:rPr>
          <w:rFonts w:ascii="Arial" w:hAnsi="Arial" w:cs="Arial"/>
          <w:i/>
          <w:iCs/>
          <w:color w:val="202122"/>
          <w:shd w:val="clear" w:color="auto" w:fill="FFFFFF"/>
        </w:rPr>
        <w:sectPr w:rsidR="00CC7EB4" w:rsidRPr="00DA7395" w:rsidSect="00CC7EB4">
          <w:footerReference w:type="even" r:id="rId7"/>
          <w:footerReference w:type="default" r:id="rId8"/>
          <w:pgSz w:w="11906" w:h="16838"/>
          <w:pgMar w:top="1440" w:right="1440" w:bottom="1440" w:left="1440" w:header="708" w:footer="708" w:gutter="0"/>
          <w:pgNumType w:fmt="lowerRoman"/>
          <w:cols w:space="708"/>
          <w:docGrid w:linePitch="360"/>
        </w:sectPr>
      </w:pPr>
      <w:r w:rsidRPr="006F53A3">
        <w:rPr>
          <w:rFonts w:ascii="Arial" w:hAnsi="Arial" w:cs="Arial"/>
          <w:i/>
          <w:iCs/>
          <w:color w:val="202122"/>
          <w:shd w:val="clear" w:color="auto" w:fill="FFFFFF"/>
        </w:rPr>
        <w:t>Bibliography</w:t>
      </w:r>
      <w:r>
        <w:rPr>
          <w:rFonts w:ascii="Arial" w:hAnsi="Arial" w:cs="Arial"/>
          <w:i/>
          <w:iCs/>
          <w:color w:val="202122"/>
          <w:shd w:val="clear" w:color="auto" w:fill="FFFFFF"/>
        </w:rPr>
        <w:t>……………………………………………………………………………..</w:t>
      </w:r>
      <w:r>
        <w:rPr>
          <w:rFonts w:ascii="Arial" w:hAnsi="Arial" w:cs="Arial"/>
          <w:i/>
          <w:iCs/>
          <w:color w:val="202122"/>
          <w:shd w:val="clear" w:color="auto" w:fill="FFFFFF"/>
        </w:rPr>
        <w:tab/>
      </w:r>
      <w:r>
        <w:rPr>
          <w:rFonts w:ascii="Arial" w:hAnsi="Arial" w:cs="Arial"/>
          <w:color w:val="202122"/>
          <w:shd w:val="clear" w:color="auto" w:fill="FFFFFF"/>
        </w:rPr>
        <w:t>40</w:t>
      </w:r>
    </w:p>
    <w:p w14:paraId="657DFF22" w14:textId="77777777" w:rsidR="00CC7EB4" w:rsidRPr="002812F6" w:rsidRDefault="00CC7EB4" w:rsidP="00CC7EB4">
      <w:pPr>
        <w:spacing w:after="160" w:line="360" w:lineRule="auto"/>
        <w:jc w:val="center"/>
        <w:rPr>
          <w:rFonts w:ascii="Arial" w:hAnsi="Arial" w:cs="Arial"/>
          <w:color w:val="202122"/>
          <w:sz w:val="22"/>
          <w:szCs w:val="22"/>
          <w:shd w:val="clear" w:color="auto" w:fill="FFFFFF"/>
        </w:rPr>
      </w:pPr>
      <w:r w:rsidRPr="00856331">
        <w:rPr>
          <w:rFonts w:ascii="Arial" w:hAnsi="Arial" w:cs="Arial"/>
          <w:color w:val="202122"/>
          <w:sz w:val="22"/>
          <w:szCs w:val="22"/>
          <w:shd w:val="clear" w:color="auto" w:fill="FFFFFF"/>
        </w:rPr>
        <w:lastRenderedPageBreak/>
        <w:t>“…necessitous men are not, truly speaking, free men, but, to answer a present exigency, will submit to any terms that the crafty may impose upon them.”</w:t>
      </w:r>
      <w:r w:rsidRPr="00856331">
        <w:rPr>
          <w:rStyle w:val="FootnoteReference"/>
          <w:rFonts w:ascii="Arial" w:hAnsi="Arial" w:cs="Arial"/>
          <w:color w:val="202122"/>
          <w:sz w:val="22"/>
          <w:szCs w:val="22"/>
          <w:shd w:val="clear" w:color="auto" w:fill="FFFFFF"/>
        </w:rPr>
        <w:footnoteReference w:id="1"/>
      </w:r>
    </w:p>
    <w:p w14:paraId="2DB1AB98" w14:textId="77777777" w:rsidR="00CC7EB4" w:rsidRPr="00127320" w:rsidRDefault="00CC7EB4" w:rsidP="00CC7EB4">
      <w:pPr>
        <w:spacing w:after="160" w:line="360" w:lineRule="auto"/>
        <w:jc w:val="center"/>
        <w:rPr>
          <w:rFonts w:ascii="Arial" w:hAnsi="Arial" w:cs="Arial"/>
          <w:b/>
          <w:bCs/>
          <w:sz w:val="28"/>
          <w:szCs w:val="28"/>
          <w:lang w:val="en-US"/>
        </w:rPr>
      </w:pPr>
      <w:r w:rsidRPr="00127320">
        <w:rPr>
          <w:rFonts w:ascii="Arial" w:hAnsi="Arial" w:cs="Arial"/>
          <w:b/>
          <w:bCs/>
          <w:sz w:val="28"/>
          <w:szCs w:val="28"/>
          <w:lang w:val="en-US"/>
        </w:rPr>
        <w:t>INTRODUCTION</w:t>
      </w:r>
    </w:p>
    <w:p w14:paraId="1410C3CF" w14:textId="77777777" w:rsidR="00CC7EB4" w:rsidRPr="00284406" w:rsidRDefault="00CC7EB4" w:rsidP="00CC7EB4">
      <w:pPr>
        <w:spacing w:after="160" w:line="360" w:lineRule="auto"/>
        <w:jc w:val="both"/>
        <w:rPr>
          <w:rFonts w:ascii="Arial" w:hAnsi="Arial" w:cs="Arial"/>
          <w:lang w:val="en-US"/>
        </w:rPr>
      </w:pPr>
      <w:r>
        <w:rPr>
          <w:rFonts w:ascii="Arial" w:hAnsi="Arial" w:cs="Arial"/>
          <w:lang w:val="en-US"/>
        </w:rPr>
        <w:t>Standard form contracts comprise up to 99 per cent of modern contracts.</w:t>
      </w:r>
      <w:r>
        <w:rPr>
          <w:rStyle w:val="FootnoteReference"/>
          <w:rFonts w:ascii="Arial" w:hAnsi="Arial" w:cs="Arial"/>
          <w:lang w:val="en-US"/>
        </w:rPr>
        <w:footnoteReference w:id="2"/>
      </w:r>
      <w:r>
        <w:rPr>
          <w:rFonts w:ascii="Arial" w:hAnsi="Arial" w:cs="Arial"/>
          <w:lang w:val="en-US"/>
        </w:rPr>
        <w:t xml:space="preserve"> By downloading applications, purchasing clothing online, and getting cars serviced, consumers regularly </w:t>
      </w:r>
      <w:proofErr w:type="gramStart"/>
      <w:r>
        <w:rPr>
          <w:rFonts w:ascii="Arial" w:hAnsi="Arial" w:cs="Arial"/>
          <w:lang w:val="en-US"/>
        </w:rPr>
        <w:t>enter into</w:t>
      </w:r>
      <w:proofErr w:type="gramEnd"/>
      <w:r>
        <w:rPr>
          <w:rFonts w:ascii="Arial" w:hAnsi="Arial" w:cs="Arial"/>
          <w:lang w:val="en-US"/>
        </w:rPr>
        <w:t xml:space="preserve"> standard form contracts, usually at the click of a button. However, standard form contracts are one-sided and when disputes and troubles arise, the terms are inevitably to the detriment of consumers. They are unilaterally drafted by the lawyers of big business, who naturally aim to protect the interests of their clients. Further muddying the waters is the fact that consumers very rarely, if ever read standard form contracts: let alone have the ability to understand the terms.</w:t>
      </w:r>
      <w:r>
        <w:rPr>
          <w:rStyle w:val="FootnoteReference"/>
          <w:rFonts w:ascii="Arial" w:hAnsi="Arial" w:cs="Arial"/>
          <w:lang w:val="en-US"/>
        </w:rPr>
        <w:footnoteReference w:id="3"/>
      </w:r>
      <w:r>
        <w:rPr>
          <w:rFonts w:ascii="Arial" w:hAnsi="Arial" w:cs="Arial"/>
          <w:lang w:val="en-US"/>
        </w:rPr>
        <w:t xml:space="preserve"> In effect, the consumer is bound by a set of terms which they did not even read, and only consented to in the very lightest sense of the word.</w:t>
      </w:r>
      <w:r>
        <w:rPr>
          <w:rStyle w:val="FootnoteReference"/>
          <w:rFonts w:ascii="Arial" w:hAnsi="Arial" w:cs="Arial"/>
          <w:lang w:val="en-US"/>
        </w:rPr>
        <w:footnoteReference w:id="4"/>
      </w:r>
      <w:r>
        <w:rPr>
          <w:rFonts w:ascii="Arial" w:hAnsi="Arial" w:cs="Arial"/>
          <w:lang w:val="en-US"/>
        </w:rPr>
        <w:t xml:space="preserve">  Illustrating the troubles of standard form contract is the case of </w:t>
      </w:r>
      <w:r>
        <w:rPr>
          <w:rFonts w:ascii="Arial" w:hAnsi="Arial" w:cs="Arial"/>
          <w:i/>
          <w:iCs/>
          <w:lang w:val="en-US"/>
        </w:rPr>
        <w:t xml:space="preserve">Uber Technologies Inc v Heller, </w:t>
      </w:r>
      <w:r>
        <w:rPr>
          <w:rFonts w:ascii="Arial" w:hAnsi="Arial" w:cs="Arial"/>
          <w:lang w:val="en-US"/>
        </w:rPr>
        <w:t>where Mr Heller’s employment agreement for Uber Eats contained an arbitration clause mandating that all disputes be handled in the Netherlands.</w:t>
      </w:r>
      <w:r>
        <w:rPr>
          <w:rStyle w:val="FootnoteReference"/>
          <w:rFonts w:ascii="Arial" w:hAnsi="Arial" w:cs="Arial"/>
          <w:lang w:val="en-US"/>
        </w:rPr>
        <w:footnoteReference w:id="5"/>
      </w:r>
      <w:r>
        <w:rPr>
          <w:rFonts w:ascii="Arial" w:hAnsi="Arial" w:cs="Arial"/>
          <w:lang w:val="en-US"/>
        </w:rPr>
        <w:t xml:space="preserve"> Heller “consented” to the contract by downloading the Uber Eats app and clicking an “I agree” button. The arbitration clause would be non-contentious if Heller lived in the Netherlands. The problem was that he lived in Ontario, Canada, meaning that him getting access to justice would cost a cool US$14,500.</w:t>
      </w:r>
      <w:r>
        <w:rPr>
          <w:rStyle w:val="FootnoteReference"/>
          <w:rFonts w:ascii="Arial" w:hAnsi="Arial" w:cs="Arial"/>
          <w:lang w:val="en-US"/>
        </w:rPr>
        <w:footnoteReference w:id="6"/>
      </w:r>
      <w:r>
        <w:rPr>
          <w:rFonts w:ascii="Arial" w:hAnsi="Arial" w:cs="Arial"/>
          <w:lang w:val="en-US"/>
        </w:rPr>
        <w:t xml:space="preserve"> We do not know for certain but can readily assume that Heller did not read his standard form employment contract. And why would he? He would likely not be able to understand it anyway due to it being laden with legal jargon.</w:t>
      </w:r>
    </w:p>
    <w:p w14:paraId="62348AA7" w14:textId="77777777" w:rsidR="00CC7EB4" w:rsidRPr="002975BC" w:rsidRDefault="00CC7EB4" w:rsidP="00CC7EB4">
      <w:pPr>
        <w:spacing w:after="160" w:line="360" w:lineRule="auto"/>
        <w:jc w:val="both"/>
        <w:rPr>
          <w:rFonts w:ascii="Arial" w:hAnsi="Arial" w:cs="Arial"/>
          <w:lang w:val="en-US"/>
        </w:rPr>
      </w:pPr>
      <w:r>
        <w:rPr>
          <w:rFonts w:ascii="Arial" w:hAnsi="Arial" w:cs="Arial"/>
          <w:lang w:val="en-US"/>
        </w:rPr>
        <w:t xml:space="preserve">This dissertation contends that the existing legal framework for standard form contracts requires reconceptualisation. Standard form contracts, efficient though they are, too often strip away the rights of the consumer without their proper, informed consent. This has concerning consequences, not just for contract but for its resulting </w:t>
      </w:r>
      <w:r>
        <w:rPr>
          <w:rFonts w:ascii="Arial" w:hAnsi="Arial" w:cs="Arial"/>
          <w:lang w:val="en-US"/>
        </w:rPr>
        <w:lastRenderedPageBreak/>
        <w:t>impact on both democracy and economic inequality.</w:t>
      </w:r>
      <w:r>
        <w:rPr>
          <w:rStyle w:val="FootnoteReference"/>
          <w:rFonts w:ascii="Arial" w:hAnsi="Arial" w:cs="Arial"/>
          <w:lang w:val="en-US"/>
        </w:rPr>
        <w:footnoteReference w:id="7"/>
      </w:r>
      <w:r>
        <w:rPr>
          <w:rFonts w:ascii="Arial" w:hAnsi="Arial" w:cs="Arial"/>
          <w:lang w:val="en-US"/>
        </w:rPr>
        <w:t xml:space="preserve"> The New Zealand legislature has in recent years adopted and expanded legal doctrines to protect the consumer from the excesses of standard form contract. However, this dissertation contends that these doctrines fail because they do not address the normative gap raised by standard form contract, namely the lack of meaningful consent provided by the consumer. In the hopes of improving this consent, I advocate for legislative reform in the form of an improved contractual disclosure regime. While disclosure regimes have been attacked </w:t>
      </w:r>
      <w:proofErr w:type="gramStart"/>
      <w:r>
        <w:rPr>
          <w:rFonts w:ascii="Arial" w:hAnsi="Arial" w:cs="Arial"/>
          <w:lang w:val="en-US"/>
        </w:rPr>
        <w:t>on the basis of</w:t>
      </w:r>
      <w:proofErr w:type="gramEnd"/>
      <w:r>
        <w:rPr>
          <w:rFonts w:ascii="Arial" w:hAnsi="Arial" w:cs="Arial"/>
          <w:lang w:val="en-US"/>
        </w:rPr>
        <w:t xml:space="preserve"> perceived perverse effects and inefficacy, this dissertation hopes to “rescue” disclosure by demonstrating that it can be both simple and efficacious.</w:t>
      </w:r>
    </w:p>
    <w:p w14:paraId="14B81A30" w14:textId="77777777" w:rsidR="00CC7EB4" w:rsidRDefault="00CC7EB4" w:rsidP="00CC7EB4">
      <w:pPr>
        <w:spacing w:after="160" w:line="360" w:lineRule="auto"/>
        <w:jc w:val="both"/>
        <w:rPr>
          <w:rFonts w:ascii="Arial" w:hAnsi="Arial" w:cs="Arial"/>
          <w:lang w:val="en-US"/>
        </w:rPr>
      </w:pPr>
      <w:r>
        <w:rPr>
          <w:rFonts w:ascii="Arial" w:hAnsi="Arial" w:cs="Arial"/>
          <w:lang w:val="en-US"/>
        </w:rPr>
        <w:t xml:space="preserve">This thesis has four chapters. </w:t>
      </w:r>
      <w:r w:rsidRPr="00B56F9D">
        <w:rPr>
          <w:rFonts w:ascii="Arial" w:hAnsi="Arial" w:cs="Arial"/>
          <w:lang w:val="en-US"/>
        </w:rPr>
        <w:t>Chapter One introduces the standard form contract</w:t>
      </w:r>
      <w:r>
        <w:rPr>
          <w:rFonts w:ascii="Arial" w:hAnsi="Arial" w:cs="Arial"/>
          <w:lang w:val="en-US"/>
        </w:rPr>
        <w:t xml:space="preserve"> and its historical development.</w:t>
      </w:r>
    </w:p>
    <w:p w14:paraId="75D15E07" w14:textId="77777777" w:rsidR="00CC7EB4" w:rsidRPr="00B56F9D" w:rsidRDefault="00CC7EB4" w:rsidP="00CC7EB4">
      <w:pPr>
        <w:spacing w:after="160" w:line="360" w:lineRule="auto"/>
        <w:jc w:val="both"/>
        <w:rPr>
          <w:rFonts w:ascii="Arial" w:hAnsi="Arial" w:cs="Arial"/>
          <w:lang w:val="en-US"/>
        </w:rPr>
      </w:pPr>
      <w:r w:rsidRPr="00B56F9D">
        <w:rPr>
          <w:rFonts w:ascii="Arial" w:hAnsi="Arial" w:cs="Arial"/>
          <w:lang w:val="en-US"/>
        </w:rPr>
        <w:t>Chapter Two moves to recent statutory developments in the space of standard form contracts</w:t>
      </w:r>
      <w:r>
        <w:rPr>
          <w:rFonts w:ascii="Arial" w:hAnsi="Arial" w:cs="Arial"/>
          <w:lang w:val="en-US"/>
        </w:rPr>
        <w:t>:</w:t>
      </w:r>
      <w:r w:rsidRPr="00B56F9D">
        <w:rPr>
          <w:rFonts w:ascii="Arial" w:hAnsi="Arial" w:cs="Arial"/>
          <w:lang w:val="en-US"/>
        </w:rPr>
        <w:t xml:space="preserve"> particularly the doctrine of unconscionability under the Fair Trading Act 1986 and its close cousin, the </w:t>
      </w:r>
      <w:r>
        <w:rPr>
          <w:rFonts w:ascii="Arial" w:hAnsi="Arial" w:cs="Arial"/>
          <w:lang w:val="en-US"/>
        </w:rPr>
        <w:t>U</w:t>
      </w:r>
      <w:r w:rsidRPr="00B56F9D">
        <w:rPr>
          <w:rFonts w:ascii="Arial" w:hAnsi="Arial" w:cs="Arial"/>
          <w:lang w:val="en-US"/>
        </w:rPr>
        <w:t xml:space="preserve">nfair </w:t>
      </w:r>
      <w:r>
        <w:rPr>
          <w:rFonts w:ascii="Arial" w:hAnsi="Arial" w:cs="Arial"/>
          <w:lang w:val="en-US"/>
        </w:rPr>
        <w:t>C</w:t>
      </w:r>
      <w:r w:rsidRPr="00B56F9D">
        <w:rPr>
          <w:rFonts w:ascii="Arial" w:hAnsi="Arial" w:cs="Arial"/>
          <w:lang w:val="en-US"/>
        </w:rPr>
        <w:t xml:space="preserve">ontract </w:t>
      </w:r>
      <w:r>
        <w:rPr>
          <w:rFonts w:ascii="Arial" w:hAnsi="Arial" w:cs="Arial"/>
          <w:lang w:val="en-US"/>
        </w:rPr>
        <w:t>T</w:t>
      </w:r>
      <w:r w:rsidRPr="00B56F9D">
        <w:rPr>
          <w:rFonts w:ascii="Arial" w:hAnsi="Arial" w:cs="Arial"/>
          <w:lang w:val="en-US"/>
        </w:rPr>
        <w:t xml:space="preserve">erms </w:t>
      </w:r>
      <w:r>
        <w:rPr>
          <w:rFonts w:ascii="Arial" w:hAnsi="Arial" w:cs="Arial"/>
          <w:lang w:val="en-US"/>
        </w:rPr>
        <w:t>R</w:t>
      </w:r>
      <w:r w:rsidRPr="00B56F9D">
        <w:rPr>
          <w:rFonts w:ascii="Arial" w:hAnsi="Arial" w:cs="Arial"/>
          <w:lang w:val="en-US"/>
        </w:rPr>
        <w:t>egime.</w:t>
      </w:r>
      <w:r>
        <w:rPr>
          <w:rStyle w:val="FootnoteReference"/>
          <w:rFonts w:ascii="Arial" w:hAnsi="Arial" w:cs="Arial"/>
          <w:lang w:val="en-US"/>
        </w:rPr>
        <w:footnoteReference w:id="8"/>
      </w:r>
      <w:r w:rsidRPr="00B56F9D">
        <w:rPr>
          <w:rFonts w:ascii="Arial" w:hAnsi="Arial" w:cs="Arial"/>
          <w:lang w:val="en-US"/>
        </w:rPr>
        <w:t xml:space="preserve"> </w:t>
      </w:r>
      <w:r>
        <w:rPr>
          <w:rFonts w:ascii="Arial" w:hAnsi="Arial" w:cs="Arial"/>
          <w:lang w:val="en-US"/>
        </w:rPr>
        <w:t>T</w:t>
      </w:r>
      <w:r w:rsidRPr="00B56F9D">
        <w:rPr>
          <w:rFonts w:ascii="Arial" w:hAnsi="Arial" w:cs="Arial"/>
          <w:lang w:val="en-US"/>
        </w:rPr>
        <w:t xml:space="preserve">his </w:t>
      </w:r>
      <w:r>
        <w:rPr>
          <w:rFonts w:ascii="Arial" w:hAnsi="Arial" w:cs="Arial"/>
          <w:lang w:val="en-US"/>
        </w:rPr>
        <w:t>C</w:t>
      </w:r>
      <w:r w:rsidRPr="00B56F9D">
        <w:rPr>
          <w:rFonts w:ascii="Arial" w:hAnsi="Arial" w:cs="Arial"/>
          <w:lang w:val="en-US"/>
        </w:rPr>
        <w:t>hapter contends that these laws treat the unfortunate symptom of</w:t>
      </w:r>
      <w:r>
        <w:rPr>
          <w:rFonts w:ascii="Arial" w:hAnsi="Arial" w:cs="Arial"/>
          <w:lang w:val="en-US"/>
        </w:rPr>
        <w:t xml:space="preserve"> the problems created by</w:t>
      </w:r>
      <w:r w:rsidRPr="00B56F9D">
        <w:rPr>
          <w:rFonts w:ascii="Arial" w:hAnsi="Arial" w:cs="Arial"/>
          <w:lang w:val="en-US"/>
        </w:rPr>
        <w:t xml:space="preserve"> standard form contracts, not the cause</w:t>
      </w:r>
      <w:r>
        <w:rPr>
          <w:rFonts w:ascii="Arial" w:hAnsi="Arial" w:cs="Arial"/>
          <w:lang w:val="en-US"/>
        </w:rPr>
        <w:t>, a lack of consent. By illustrating the shortcomings of these doctrines, this chapter hopes to show the need for legislative reform.</w:t>
      </w:r>
    </w:p>
    <w:p w14:paraId="7C113464" w14:textId="77777777" w:rsidR="00CC7EB4" w:rsidRPr="00B56F9D" w:rsidRDefault="00CC7EB4" w:rsidP="00CC7EB4">
      <w:pPr>
        <w:spacing w:after="160" w:line="360" w:lineRule="auto"/>
        <w:jc w:val="both"/>
        <w:rPr>
          <w:rFonts w:ascii="Arial" w:hAnsi="Arial" w:cs="Arial"/>
          <w:lang w:val="en-US"/>
        </w:rPr>
      </w:pPr>
      <w:r w:rsidRPr="00B56F9D">
        <w:rPr>
          <w:rFonts w:ascii="Arial" w:hAnsi="Arial" w:cs="Arial"/>
          <w:lang w:val="en-US"/>
        </w:rPr>
        <w:t>Chapter Three considers the quality of consent of standard form contracts. It illustrates the profound lack of consent given by the consumer and the doctrinal disconnect between traditional contract law and standard form contracts.</w:t>
      </w:r>
    </w:p>
    <w:p w14:paraId="3B13D84A" w14:textId="77777777" w:rsidR="00CC7EB4" w:rsidRPr="007A13AE" w:rsidRDefault="00CC7EB4" w:rsidP="00CC7EB4">
      <w:pPr>
        <w:spacing w:after="160" w:line="360" w:lineRule="auto"/>
        <w:jc w:val="both"/>
        <w:rPr>
          <w:rFonts w:ascii="Arial" w:hAnsi="Arial" w:cs="Arial"/>
          <w:lang w:val="en-US"/>
        </w:rPr>
      </w:pPr>
      <w:r w:rsidRPr="00B56F9D">
        <w:rPr>
          <w:rFonts w:ascii="Arial" w:hAnsi="Arial" w:cs="Arial"/>
          <w:lang w:val="en-US"/>
        </w:rPr>
        <w:t xml:space="preserve">Chapter Four asks how consent can be improved without impeding the efficiency of standard form contracts or standing on the toes of freedom of contract. I propose </w:t>
      </w:r>
      <w:r>
        <w:rPr>
          <w:rFonts w:ascii="Arial" w:hAnsi="Arial" w:cs="Arial"/>
          <w:lang w:val="en-US"/>
        </w:rPr>
        <w:t xml:space="preserve">legislative reform through the creation of a disclosure regime under the Fair Trading Act. I defend this position by reference to </w:t>
      </w:r>
      <w:proofErr w:type="gramStart"/>
      <w:r>
        <w:rPr>
          <w:rFonts w:ascii="Arial" w:hAnsi="Arial" w:cs="Arial"/>
          <w:lang w:val="en-US"/>
        </w:rPr>
        <w:t>a number of</w:t>
      </w:r>
      <w:proofErr w:type="gramEnd"/>
      <w:r>
        <w:rPr>
          <w:rFonts w:ascii="Arial" w:hAnsi="Arial" w:cs="Arial"/>
          <w:lang w:val="en-US"/>
        </w:rPr>
        <w:t xml:space="preserve"> “disclosurites” and by rebutting the points made by some of disclosure’s biggest critics.</w:t>
      </w:r>
    </w:p>
    <w:p w14:paraId="035D6162" w14:textId="77777777" w:rsidR="00CC7EB4" w:rsidRDefault="00CC7EB4" w:rsidP="00CC7EB4">
      <w:pPr>
        <w:spacing w:after="160" w:line="360" w:lineRule="auto"/>
        <w:jc w:val="center"/>
        <w:rPr>
          <w:rFonts w:ascii="Arial" w:hAnsi="Arial" w:cs="Arial"/>
          <w:b/>
          <w:bCs/>
          <w:sz w:val="28"/>
          <w:szCs w:val="28"/>
          <w:lang w:val="en-US"/>
        </w:rPr>
      </w:pPr>
    </w:p>
    <w:p w14:paraId="306D9F8E" w14:textId="77777777" w:rsidR="00CC7EB4" w:rsidRDefault="00CC7EB4" w:rsidP="00CC7EB4">
      <w:pPr>
        <w:spacing w:after="160" w:line="360" w:lineRule="auto"/>
        <w:jc w:val="center"/>
        <w:rPr>
          <w:rFonts w:ascii="Arial" w:hAnsi="Arial" w:cs="Arial"/>
          <w:b/>
          <w:bCs/>
          <w:sz w:val="28"/>
          <w:szCs w:val="28"/>
          <w:lang w:val="en-US"/>
        </w:rPr>
      </w:pPr>
    </w:p>
    <w:p w14:paraId="788ED1D7" w14:textId="77777777" w:rsidR="00CC7EB4" w:rsidRDefault="00CC7EB4" w:rsidP="00CC7EB4">
      <w:pPr>
        <w:spacing w:after="160" w:line="360" w:lineRule="auto"/>
        <w:jc w:val="center"/>
        <w:rPr>
          <w:rFonts w:ascii="Arial" w:hAnsi="Arial" w:cs="Arial"/>
          <w:b/>
          <w:bCs/>
          <w:sz w:val="28"/>
          <w:szCs w:val="28"/>
          <w:lang w:val="en-US"/>
        </w:rPr>
      </w:pPr>
      <w:r w:rsidRPr="00127320">
        <w:rPr>
          <w:rFonts w:ascii="Arial" w:hAnsi="Arial" w:cs="Arial"/>
          <w:b/>
          <w:bCs/>
          <w:sz w:val="28"/>
          <w:szCs w:val="28"/>
          <w:lang w:val="en-US"/>
        </w:rPr>
        <w:lastRenderedPageBreak/>
        <w:t xml:space="preserve">CHAPTER ONE: </w:t>
      </w:r>
      <w:r>
        <w:rPr>
          <w:rFonts w:ascii="Arial" w:hAnsi="Arial" w:cs="Arial"/>
          <w:b/>
          <w:bCs/>
          <w:sz w:val="28"/>
          <w:szCs w:val="28"/>
          <w:lang w:val="en-US"/>
        </w:rPr>
        <w:t xml:space="preserve"> INTRODUCTION TO </w:t>
      </w:r>
      <w:r w:rsidRPr="00127320">
        <w:rPr>
          <w:rFonts w:ascii="Arial" w:hAnsi="Arial" w:cs="Arial"/>
          <w:b/>
          <w:bCs/>
          <w:sz w:val="28"/>
          <w:szCs w:val="28"/>
          <w:lang w:val="en-US"/>
        </w:rPr>
        <w:t>STANDARD FORM CONTRACTS</w:t>
      </w:r>
    </w:p>
    <w:p w14:paraId="1A151B58" w14:textId="77777777" w:rsidR="00CC7EB4" w:rsidRPr="00993C0A" w:rsidRDefault="00CC7EB4" w:rsidP="00CC7EB4">
      <w:pPr>
        <w:spacing w:after="160" w:line="360" w:lineRule="auto"/>
        <w:jc w:val="both"/>
        <w:rPr>
          <w:rFonts w:ascii="Arial" w:hAnsi="Arial" w:cs="Arial"/>
          <w:lang w:val="en-US"/>
        </w:rPr>
      </w:pPr>
      <w:r>
        <w:rPr>
          <w:rFonts w:ascii="Arial" w:hAnsi="Arial" w:cs="Arial"/>
          <w:lang w:val="en-US"/>
        </w:rPr>
        <w:t>Contract law is premised on consent, or the meeting of the minds.</w:t>
      </w:r>
      <w:r>
        <w:rPr>
          <w:rStyle w:val="FootnoteReference"/>
          <w:rFonts w:ascii="Arial" w:hAnsi="Arial" w:cs="Arial"/>
          <w:lang w:val="en-US"/>
        </w:rPr>
        <w:footnoteReference w:id="9"/>
      </w:r>
      <w:r>
        <w:rPr>
          <w:rFonts w:ascii="Arial" w:hAnsi="Arial" w:cs="Arial"/>
          <w:lang w:val="en-US"/>
        </w:rPr>
        <w:t xml:space="preserve"> The ideal enforceable contract, it is said, is that negotiated between two individuals of roughly equal bargaining power over a simple sale.</w:t>
      </w:r>
      <w:r>
        <w:rPr>
          <w:rStyle w:val="FootnoteReference"/>
          <w:rFonts w:ascii="Arial" w:hAnsi="Arial" w:cs="Arial"/>
          <w:lang w:val="en-US"/>
        </w:rPr>
        <w:footnoteReference w:id="10"/>
      </w:r>
      <w:r>
        <w:rPr>
          <w:rFonts w:ascii="Arial" w:hAnsi="Arial" w:cs="Arial"/>
          <w:lang w:val="en-US"/>
        </w:rPr>
        <w:t xml:space="preserve"> However, while we may envision consent as being an active process of bargaining between two parties, the modern reality is that this is seldom the case. No longer are consumers haggling within the domain of the village marketplace.</w:t>
      </w:r>
      <w:r>
        <w:rPr>
          <w:rStyle w:val="FootnoteReference"/>
          <w:rFonts w:ascii="Arial" w:hAnsi="Arial" w:cs="Arial"/>
          <w:lang w:val="en-US"/>
        </w:rPr>
        <w:footnoteReference w:id="11"/>
      </w:r>
      <w:r>
        <w:rPr>
          <w:rFonts w:ascii="Arial" w:hAnsi="Arial" w:cs="Arial"/>
          <w:lang w:val="en-US"/>
        </w:rPr>
        <w:t xml:space="preserve"> Instead, consumers find themselves “consenting” to lengthy standard form contracts at the click of a button. Moreover, consent under contract theory is hollower than consent according to common parlance. One does not need to subjectively consent to a contract to be bound. Instead, the inquiry is whether, from an external perspective, they objectively consented.</w:t>
      </w:r>
      <w:r>
        <w:rPr>
          <w:rStyle w:val="FootnoteReference"/>
          <w:rFonts w:ascii="Arial" w:hAnsi="Arial" w:cs="Arial"/>
          <w:lang w:val="en-US"/>
        </w:rPr>
        <w:footnoteReference w:id="12"/>
      </w:r>
      <w:r>
        <w:rPr>
          <w:rFonts w:ascii="Arial" w:hAnsi="Arial" w:cs="Arial"/>
          <w:lang w:val="en-US"/>
        </w:rPr>
        <w:t xml:space="preserve"> The click of a button, therefore, even without reading the terms, is binding (even if the consumer did not wish to be bound). The increasing hollowness of consent to contract presents </w:t>
      </w:r>
      <w:proofErr w:type="gramStart"/>
      <w:r>
        <w:rPr>
          <w:rFonts w:ascii="Arial" w:hAnsi="Arial" w:cs="Arial"/>
          <w:lang w:val="en-US"/>
        </w:rPr>
        <w:t>a number of</w:t>
      </w:r>
      <w:proofErr w:type="gramEnd"/>
      <w:r>
        <w:rPr>
          <w:rFonts w:ascii="Arial" w:hAnsi="Arial" w:cs="Arial"/>
          <w:lang w:val="en-US"/>
        </w:rPr>
        <w:t xml:space="preserve"> well-documented difficulties, including a process of normative degradation whereby consent has all but lost its meaning. This Chapter introduces the standard form contract and aims to demonstrate its tension with informed consumer consent.</w:t>
      </w:r>
    </w:p>
    <w:p w14:paraId="36C6CA93" w14:textId="77777777" w:rsidR="00CC7EB4" w:rsidRPr="002C49DE" w:rsidRDefault="00CC7EB4" w:rsidP="00CC7EB4">
      <w:pPr>
        <w:spacing w:after="160" w:line="360" w:lineRule="auto"/>
        <w:jc w:val="both"/>
        <w:rPr>
          <w:rFonts w:ascii="Arial" w:hAnsi="Arial" w:cs="Arial"/>
          <w:i/>
          <w:iCs/>
          <w:sz w:val="28"/>
          <w:szCs w:val="28"/>
          <w:lang w:val="en-US"/>
        </w:rPr>
      </w:pPr>
      <w:r w:rsidRPr="002C49DE">
        <w:rPr>
          <w:rFonts w:ascii="Arial" w:hAnsi="Arial" w:cs="Arial"/>
          <w:i/>
          <w:iCs/>
          <w:sz w:val="28"/>
          <w:szCs w:val="28"/>
          <w:lang w:val="en-US"/>
        </w:rPr>
        <w:t>I</w:t>
      </w:r>
      <w:r>
        <w:rPr>
          <w:rFonts w:ascii="Arial" w:hAnsi="Arial" w:cs="Arial"/>
          <w:i/>
          <w:iCs/>
          <w:sz w:val="28"/>
          <w:szCs w:val="28"/>
          <w:lang w:val="en-US"/>
        </w:rPr>
        <w:t xml:space="preserve">       </w:t>
      </w:r>
      <w:r w:rsidRPr="002C49DE">
        <w:rPr>
          <w:rFonts w:ascii="Arial" w:hAnsi="Arial" w:cs="Arial"/>
          <w:i/>
          <w:iCs/>
          <w:sz w:val="28"/>
          <w:szCs w:val="28"/>
          <w:lang w:val="en-US"/>
        </w:rPr>
        <w:t>What is a standard form contract?</w:t>
      </w:r>
    </w:p>
    <w:p w14:paraId="03562772" w14:textId="77777777" w:rsidR="00CC7EB4" w:rsidRDefault="00CC7EB4" w:rsidP="00CC7EB4">
      <w:pPr>
        <w:spacing w:after="160" w:line="360" w:lineRule="auto"/>
        <w:jc w:val="both"/>
        <w:rPr>
          <w:rFonts w:ascii="Arial" w:hAnsi="Arial" w:cs="Arial"/>
          <w:lang w:val="en-US"/>
        </w:rPr>
      </w:pPr>
      <w:r>
        <w:rPr>
          <w:rFonts w:ascii="Arial" w:hAnsi="Arial" w:cs="Arial"/>
          <w:lang w:val="en-US"/>
        </w:rPr>
        <w:t>Section 46J of the Fair Trading Act 1986 defines a standard form contract as a contract which has not been subject to effective negotiation between the parties.</w:t>
      </w:r>
      <w:r>
        <w:rPr>
          <w:rStyle w:val="FootnoteReference"/>
          <w:rFonts w:ascii="Arial" w:hAnsi="Arial" w:cs="Arial"/>
          <w:lang w:val="en-US"/>
        </w:rPr>
        <w:footnoteReference w:id="13"/>
      </w:r>
      <w:r>
        <w:rPr>
          <w:rFonts w:ascii="Arial" w:hAnsi="Arial" w:cs="Arial"/>
          <w:lang w:val="en-US"/>
        </w:rPr>
        <w:t xml:space="preserve"> In determining whether there is a standard form contract, the court must have regard to “the bargaining power of the parties, whether the contract was prepared prior to any discussion relating to the transaction, whether any parties was required to accept or reject the terms of the contract, the extent to which the parties had an effective opportunity to negotiate the terms, and the extent to which the terms of the contract reflect the specific characteristics of any party to the contract.”</w:t>
      </w:r>
      <w:r>
        <w:rPr>
          <w:rStyle w:val="FootnoteReference"/>
          <w:rFonts w:ascii="Arial" w:hAnsi="Arial" w:cs="Arial"/>
          <w:lang w:val="en-US"/>
        </w:rPr>
        <w:footnoteReference w:id="14"/>
      </w:r>
      <w:r>
        <w:rPr>
          <w:rFonts w:ascii="Arial" w:hAnsi="Arial" w:cs="Arial"/>
          <w:lang w:val="en-US"/>
        </w:rPr>
        <w:t xml:space="preserve"> Standard form </w:t>
      </w:r>
      <w:r>
        <w:rPr>
          <w:rFonts w:ascii="Arial" w:hAnsi="Arial" w:cs="Arial"/>
          <w:lang w:val="en-US"/>
        </w:rPr>
        <w:lastRenderedPageBreak/>
        <w:t>contracts are often described as contracts given on a “take it or leave it basis.”</w:t>
      </w:r>
      <w:r>
        <w:rPr>
          <w:rStyle w:val="FootnoteReference"/>
          <w:rFonts w:ascii="Arial" w:hAnsi="Arial" w:cs="Arial"/>
          <w:lang w:val="en-US"/>
        </w:rPr>
        <w:footnoteReference w:id="15"/>
      </w:r>
      <w:r>
        <w:rPr>
          <w:rFonts w:ascii="Arial" w:hAnsi="Arial" w:cs="Arial"/>
          <w:lang w:val="en-US"/>
        </w:rPr>
        <w:t xml:space="preserve"> This particular expression reflects the fact that the consumer is in no position to negotiate terms. If they are unhappy with the terms, they are free to leave. Of course, there is no guarantee that the consumer will find a “better” contract out in the marketplace. The proliferation of standard form contracts and competition between businesses means that many share similar terms and conditions.</w:t>
      </w:r>
      <w:r>
        <w:rPr>
          <w:rStyle w:val="FootnoteReference"/>
          <w:rFonts w:ascii="Arial" w:hAnsi="Arial" w:cs="Arial"/>
          <w:lang w:val="en-US"/>
        </w:rPr>
        <w:footnoteReference w:id="16"/>
      </w:r>
    </w:p>
    <w:p w14:paraId="1B34032E" w14:textId="77777777" w:rsidR="00CC7EB4" w:rsidRDefault="00CC7EB4" w:rsidP="00CC7EB4">
      <w:pPr>
        <w:spacing w:after="160" w:line="360" w:lineRule="auto"/>
        <w:jc w:val="both"/>
        <w:rPr>
          <w:rFonts w:ascii="Arial" w:hAnsi="Arial" w:cs="Arial"/>
          <w:lang w:val="en-US"/>
        </w:rPr>
      </w:pPr>
      <w:r>
        <w:rPr>
          <w:rFonts w:ascii="Arial" w:hAnsi="Arial" w:cs="Arial"/>
          <w:lang w:val="en-US"/>
        </w:rPr>
        <w:t>Despite their thorns and thistles, standard form contracts are here to stay. They are incredibly efficient and now represent approximately 99% of all contracts.</w:t>
      </w:r>
      <w:r>
        <w:rPr>
          <w:rStyle w:val="FootnoteReference"/>
          <w:rFonts w:ascii="Arial" w:hAnsi="Arial" w:cs="Arial"/>
          <w:lang w:val="en-US"/>
        </w:rPr>
        <w:footnoteReference w:id="17"/>
      </w:r>
      <w:r>
        <w:rPr>
          <w:rFonts w:ascii="Arial" w:hAnsi="Arial" w:cs="Arial"/>
          <w:lang w:val="en-US"/>
        </w:rPr>
        <w:t xml:space="preserve"> Businesses use standard form contracts </w:t>
      </w:r>
      <w:proofErr w:type="gramStart"/>
      <w:r>
        <w:rPr>
          <w:rFonts w:ascii="Arial" w:hAnsi="Arial" w:cs="Arial"/>
          <w:lang w:val="en-US"/>
        </w:rPr>
        <w:t>in order to</w:t>
      </w:r>
      <w:proofErr w:type="gramEnd"/>
      <w:r>
        <w:rPr>
          <w:rFonts w:ascii="Arial" w:hAnsi="Arial" w:cs="Arial"/>
          <w:lang w:val="en-US"/>
        </w:rPr>
        <w:t xml:space="preserve"> expedite their business operations. No longer do businesses need to contract individually with each customer or worse yet, have no agreement on procedures </w:t>
      </w:r>
      <w:proofErr w:type="gramStart"/>
      <w:r>
        <w:rPr>
          <w:rFonts w:ascii="Arial" w:hAnsi="Arial" w:cs="Arial"/>
          <w:lang w:val="en-US"/>
        </w:rPr>
        <w:t>in the event that</w:t>
      </w:r>
      <w:proofErr w:type="gramEnd"/>
      <w:r>
        <w:rPr>
          <w:rFonts w:ascii="Arial" w:hAnsi="Arial" w:cs="Arial"/>
          <w:lang w:val="en-US"/>
        </w:rPr>
        <w:t xml:space="preserve"> something goes wrong. Moreover, consumers benefit from standard form contracts as it provides them a greater choice of consumption and lowers the cost of contracting, which lowers the cost of the good or service they are purchasing.</w:t>
      </w:r>
      <w:r>
        <w:rPr>
          <w:rStyle w:val="FootnoteReference"/>
          <w:rFonts w:ascii="Arial" w:hAnsi="Arial" w:cs="Arial"/>
          <w:lang w:val="en-US"/>
        </w:rPr>
        <w:footnoteReference w:id="18"/>
      </w:r>
      <w:r>
        <w:rPr>
          <w:rFonts w:ascii="Arial" w:hAnsi="Arial" w:cs="Arial"/>
          <w:lang w:val="en-US"/>
        </w:rPr>
        <w:t xml:space="preserve"> The question is therefore not whether or how to get rid of standard form contracts, but how to ensure that standard form contracts are fair (both procedurally and substantively) and more accurately reflect the consent of its parties.</w:t>
      </w:r>
    </w:p>
    <w:p w14:paraId="356AA91E" w14:textId="77777777" w:rsidR="00CC7EB4" w:rsidRDefault="00CC7EB4" w:rsidP="00CC7EB4">
      <w:pPr>
        <w:spacing w:after="160" w:line="360" w:lineRule="auto"/>
        <w:jc w:val="both"/>
        <w:rPr>
          <w:rFonts w:ascii="Arial" w:hAnsi="Arial" w:cs="Arial"/>
          <w:lang w:val="en-US"/>
        </w:rPr>
      </w:pPr>
      <w:r>
        <w:rPr>
          <w:rFonts w:ascii="Arial" w:hAnsi="Arial" w:cs="Arial"/>
          <w:lang w:val="en-US"/>
        </w:rPr>
        <w:t>Standard form contracts arise in a variety of contexts. For example, this author is regularly party to standard form contracts for academic databases, in which he is compelled to agree to their terms if he wishes to derive the wisdom of its learned authors.</w:t>
      </w:r>
      <w:r>
        <w:rPr>
          <w:rStyle w:val="FootnoteReference"/>
          <w:rFonts w:ascii="Arial" w:hAnsi="Arial" w:cs="Arial"/>
          <w:lang w:val="en-US"/>
        </w:rPr>
        <w:footnoteReference w:id="19"/>
      </w:r>
      <w:r>
        <w:rPr>
          <w:rFonts w:ascii="Arial" w:hAnsi="Arial" w:cs="Arial"/>
          <w:lang w:val="en-US"/>
        </w:rPr>
        <w:t xml:space="preserve"> Form contracts are perhaps in their most sinister form in the online space, where they are characterised by the infamous “I agree” button. Of course, consumers outwardly accept the terms: their clicking that they agree evidences their objective intention to be bound by the terms.</w:t>
      </w:r>
      <w:r>
        <w:rPr>
          <w:rStyle w:val="FootnoteReference"/>
          <w:rFonts w:ascii="Arial" w:hAnsi="Arial" w:cs="Arial"/>
          <w:lang w:val="en-US"/>
        </w:rPr>
        <w:footnoteReference w:id="20"/>
      </w:r>
      <w:r>
        <w:rPr>
          <w:rFonts w:ascii="Arial" w:hAnsi="Arial" w:cs="Arial"/>
          <w:lang w:val="en-US"/>
        </w:rPr>
        <w:t xml:space="preserve"> The problem is that consumers agree to a set of terms and conditions which can take 40 minutes to read, and which match the linguistic impenetrability of Immanuel Kant’s “</w:t>
      </w:r>
      <w:r w:rsidRPr="00145191">
        <w:rPr>
          <w:rFonts w:ascii="Arial" w:hAnsi="Arial" w:cs="Arial"/>
          <w:i/>
          <w:iCs/>
          <w:lang w:val="en-US"/>
        </w:rPr>
        <w:t>Critique of Pure Reason</w:t>
      </w:r>
      <w:r>
        <w:rPr>
          <w:rFonts w:ascii="Arial" w:hAnsi="Arial" w:cs="Arial"/>
          <w:lang w:val="en-US"/>
        </w:rPr>
        <w:t>.”</w:t>
      </w:r>
      <w:r>
        <w:rPr>
          <w:rStyle w:val="FootnoteReference"/>
          <w:rFonts w:ascii="Arial" w:hAnsi="Arial" w:cs="Arial"/>
          <w:lang w:val="en-US"/>
        </w:rPr>
        <w:footnoteReference w:id="21"/>
      </w:r>
      <w:r>
        <w:rPr>
          <w:rFonts w:ascii="Arial" w:hAnsi="Arial" w:cs="Arial"/>
          <w:lang w:val="en-US"/>
        </w:rPr>
        <w:t xml:space="preserve"> Most consumers do </w:t>
      </w:r>
      <w:r>
        <w:rPr>
          <w:rFonts w:ascii="Arial" w:hAnsi="Arial" w:cs="Arial"/>
          <w:lang w:val="en-US"/>
        </w:rPr>
        <w:lastRenderedPageBreak/>
        <w:t>not read the terms, either because they are too complex, too wordy, or simply because they realise that they cannot negotiate the terms anyway.</w:t>
      </w:r>
      <w:r>
        <w:rPr>
          <w:rStyle w:val="FootnoteReference"/>
          <w:rFonts w:ascii="Arial" w:hAnsi="Arial" w:cs="Arial"/>
          <w:lang w:val="en-US"/>
        </w:rPr>
        <w:footnoteReference w:id="22"/>
      </w:r>
      <w:r>
        <w:rPr>
          <w:rFonts w:ascii="Arial" w:hAnsi="Arial" w:cs="Arial"/>
          <w:lang w:val="en-US"/>
        </w:rPr>
        <w:t xml:space="preserve"> Indeed, some authors argue that consumers simply accept terms due to various psychological factors such as obedience to authority.</w:t>
      </w:r>
      <w:r>
        <w:rPr>
          <w:rStyle w:val="FootnoteReference"/>
          <w:rFonts w:ascii="Arial" w:hAnsi="Arial" w:cs="Arial"/>
          <w:lang w:val="en-US"/>
        </w:rPr>
        <w:footnoteReference w:id="23"/>
      </w:r>
      <w:r>
        <w:rPr>
          <w:rFonts w:ascii="Arial" w:hAnsi="Arial" w:cs="Arial"/>
          <w:lang w:val="en-US"/>
        </w:rPr>
        <w:t xml:space="preserve"> An example of the unreadability of standard form contracts can be seen with Discord’s (a popular communication app) terms of service which has over 7,000 words: on top of which is incorporated a privacy policy, copyright policy, refund policy, alongside community guidelines and other policies.</w:t>
      </w:r>
      <w:r>
        <w:rPr>
          <w:rStyle w:val="FootnoteReference"/>
          <w:rFonts w:ascii="Arial" w:hAnsi="Arial" w:cs="Arial"/>
          <w:lang w:val="en-US"/>
        </w:rPr>
        <w:footnoteReference w:id="24"/>
      </w:r>
      <w:r>
        <w:rPr>
          <w:rFonts w:ascii="Arial" w:hAnsi="Arial" w:cs="Arial"/>
          <w:lang w:val="en-US"/>
        </w:rPr>
        <w:t xml:space="preserve"> </w:t>
      </w:r>
    </w:p>
    <w:p w14:paraId="57E6C095" w14:textId="77777777" w:rsidR="00CC7EB4" w:rsidRDefault="00CC7EB4" w:rsidP="00CC7EB4">
      <w:pPr>
        <w:spacing w:after="160" w:line="360" w:lineRule="auto"/>
        <w:jc w:val="both"/>
        <w:rPr>
          <w:rFonts w:ascii="Arial" w:hAnsi="Arial" w:cs="Arial"/>
          <w:lang w:val="en-US"/>
        </w:rPr>
      </w:pPr>
      <w:r>
        <w:rPr>
          <w:rFonts w:ascii="Arial" w:hAnsi="Arial" w:cs="Arial"/>
          <w:lang w:val="en-US"/>
        </w:rPr>
        <w:t>Another example of the standard form contract is the shrinkwrap contract, or the shrinkwrap license.</w:t>
      </w:r>
      <w:r>
        <w:rPr>
          <w:rStyle w:val="FootnoteReference"/>
          <w:rFonts w:ascii="Arial" w:hAnsi="Arial" w:cs="Arial"/>
          <w:lang w:val="en-US"/>
        </w:rPr>
        <w:footnoteReference w:id="25"/>
      </w:r>
      <w:r>
        <w:rPr>
          <w:rFonts w:ascii="Arial" w:hAnsi="Arial" w:cs="Arial"/>
          <w:lang w:val="en-US"/>
        </w:rPr>
        <w:t xml:space="preserve"> The shrinkwrap contract describes the standard form contract which arrives within the packaging of a particular good. The consumer has already paid for the goods, meaning that consideration has already passed, and the contract is prima facie complete.</w:t>
      </w:r>
      <w:r>
        <w:rPr>
          <w:rStyle w:val="FootnoteReference"/>
          <w:rFonts w:ascii="Arial" w:hAnsi="Arial" w:cs="Arial"/>
          <w:lang w:val="en-US"/>
        </w:rPr>
        <w:footnoteReference w:id="26"/>
      </w:r>
      <w:r>
        <w:rPr>
          <w:rFonts w:ascii="Arial" w:hAnsi="Arial" w:cs="Arial"/>
          <w:lang w:val="en-US"/>
        </w:rPr>
        <w:t xml:space="preserve"> However, once the consumer opens up the packaging, she finds a set of terms and conditions, purportedly binding her.</w:t>
      </w:r>
      <w:r>
        <w:rPr>
          <w:rStyle w:val="FootnoteReference"/>
          <w:rFonts w:ascii="Arial" w:hAnsi="Arial" w:cs="Arial"/>
          <w:lang w:val="en-US"/>
        </w:rPr>
        <w:footnoteReference w:id="27"/>
      </w:r>
      <w:r>
        <w:rPr>
          <w:rFonts w:ascii="Arial" w:hAnsi="Arial" w:cs="Arial"/>
          <w:lang w:val="en-US"/>
        </w:rPr>
        <w:t xml:space="preserve"> The shrinkwrap contract is even less consumer friendly than the normal standard form contract as the consumer does not even have the opportunity to read the terms. But notwithstanding this lack of consent (according to “traditional” contract law theory), shrinkwrap contracts continue to be upheld. Shrinkwrap contracts are particularly problematic because of the timing between contractual disclosure and the delivery of the product. Disclosure, as is traversed in Chapter Four, works poorly when disconnected from the initial purchase or consumption of a product. We can imagine, for example, a consumer refusing to purchase a widget from a shop on the basis that the widget does not have an attached warranty. Now imagine the consumer who purchases a widget online with an attached shrinkwrap contract (with no warranty). We can wager that the consumer will be likely to keep the widget, even though they wanted a warranty all along. The time at which the consumer became aware of the shrinkwrap contract was so disconnected with the initial purchase that the consumer is likely to accept unexpected and even undesired terms and conditions.</w:t>
      </w:r>
    </w:p>
    <w:p w14:paraId="4A77086B" w14:textId="77777777" w:rsidR="00CC7EB4" w:rsidRDefault="00CC7EB4" w:rsidP="00CC7EB4">
      <w:pPr>
        <w:spacing w:after="160" w:line="360" w:lineRule="auto"/>
        <w:jc w:val="both"/>
        <w:rPr>
          <w:rFonts w:ascii="Arial" w:hAnsi="Arial" w:cs="Arial"/>
          <w:lang w:val="en-US"/>
        </w:rPr>
      </w:pPr>
      <w:r>
        <w:rPr>
          <w:rFonts w:ascii="Arial" w:hAnsi="Arial" w:cs="Arial"/>
          <w:lang w:val="en-US"/>
        </w:rPr>
        <w:lastRenderedPageBreak/>
        <w:t>A common form of standard form contract is the click wrap agreement, which is a form of agreement used for software licensing, websites and other electronic media.</w:t>
      </w:r>
      <w:r>
        <w:rPr>
          <w:rStyle w:val="FootnoteReference"/>
          <w:rFonts w:ascii="Arial" w:hAnsi="Arial" w:cs="Arial"/>
          <w:lang w:val="en-US"/>
        </w:rPr>
        <w:footnoteReference w:id="28"/>
      </w:r>
      <w:r>
        <w:rPr>
          <w:rFonts w:ascii="Arial" w:hAnsi="Arial" w:cs="Arial"/>
          <w:lang w:val="en-US"/>
        </w:rPr>
        <w:t xml:space="preserve"> They typically require the user to agree to a set of terms and conditions before using the website, downloading software, or beginning a transaction.</w:t>
      </w:r>
      <w:r>
        <w:rPr>
          <w:rStyle w:val="FootnoteReference"/>
          <w:rFonts w:ascii="Arial" w:hAnsi="Arial" w:cs="Arial"/>
          <w:lang w:val="en-US"/>
        </w:rPr>
        <w:footnoteReference w:id="29"/>
      </w:r>
      <w:r>
        <w:rPr>
          <w:rFonts w:ascii="Arial" w:hAnsi="Arial" w:cs="Arial"/>
          <w:lang w:val="en-US"/>
        </w:rPr>
        <w:t xml:space="preserve"> Users are brought to an online prompt, which requires them to agree with the terms before any further action can be taken. This prompt typically, </w:t>
      </w:r>
      <w:proofErr w:type="gramStart"/>
      <w:r>
        <w:rPr>
          <w:rFonts w:ascii="Arial" w:hAnsi="Arial" w:cs="Arial"/>
          <w:lang w:val="en-US"/>
        </w:rPr>
        <w:t>in order to</w:t>
      </w:r>
      <w:proofErr w:type="gramEnd"/>
      <w:r>
        <w:rPr>
          <w:rFonts w:ascii="Arial" w:hAnsi="Arial" w:cs="Arial"/>
          <w:lang w:val="en-US"/>
        </w:rPr>
        <w:t xml:space="preserve"> cover the business’s bases, says that “I have read the terms and conditions and agree to them.” </w:t>
      </w:r>
      <w:proofErr w:type="gramStart"/>
      <w:r>
        <w:rPr>
          <w:rFonts w:ascii="Arial" w:hAnsi="Arial" w:cs="Arial"/>
          <w:lang w:val="en-US"/>
        </w:rPr>
        <w:t>The majority of</w:t>
      </w:r>
      <w:proofErr w:type="gramEnd"/>
      <w:r>
        <w:rPr>
          <w:rFonts w:ascii="Arial" w:hAnsi="Arial" w:cs="Arial"/>
          <w:lang w:val="en-US"/>
        </w:rPr>
        <w:t xml:space="preserve"> consumers merely click that they agree, without reading the terms and conditions. By them clicking that they agree, however, they are deposing that they have read the terms and conditions. Any concept of consent is therefore artificial and not present in any meaningful sense. This procedure raises questions as to whether clickwrap is </w:t>
      </w:r>
      <w:proofErr w:type="gramStart"/>
      <w:r>
        <w:rPr>
          <w:rFonts w:ascii="Arial" w:hAnsi="Arial" w:cs="Arial"/>
          <w:lang w:val="en-US"/>
        </w:rPr>
        <w:t>actually a</w:t>
      </w:r>
      <w:proofErr w:type="gramEnd"/>
      <w:r>
        <w:rPr>
          <w:rFonts w:ascii="Arial" w:hAnsi="Arial" w:cs="Arial"/>
          <w:lang w:val="en-US"/>
        </w:rPr>
        <w:t xml:space="preserve"> contract, because “it deviates from the traditional conceptualization of contract-as-consent.”</w:t>
      </w:r>
      <w:r>
        <w:rPr>
          <w:rStyle w:val="FootnoteReference"/>
          <w:rFonts w:ascii="Arial" w:hAnsi="Arial" w:cs="Arial"/>
          <w:lang w:val="en-US"/>
        </w:rPr>
        <w:footnoteReference w:id="30"/>
      </w:r>
      <w:r>
        <w:rPr>
          <w:rFonts w:ascii="Arial" w:hAnsi="Arial" w:cs="Arial"/>
          <w:lang w:val="en-US"/>
        </w:rPr>
        <w:t xml:space="preserve"> Notwithstanding this artificiality, clickwrap contracts are overwhelming upheld as meaningful contracts.</w:t>
      </w:r>
      <w:r>
        <w:rPr>
          <w:rStyle w:val="FootnoteReference"/>
          <w:rFonts w:ascii="Arial" w:hAnsi="Arial" w:cs="Arial"/>
          <w:lang w:val="en-US"/>
        </w:rPr>
        <w:footnoteReference w:id="31"/>
      </w:r>
    </w:p>
    <w:p w14:paraId="538AC71D" w14:textId="77777777" w:rsidR="00CC7EB4" w:rsidRPr="00C81FB1" w:rsidRDefault="00CC7EB4" w:rsidP="00CC7EB4">
      <w:pPr>
        <w:spacing w:after="160" w:line="360" w:lineRule="auto"/>
        <w:jc w:val="both"/>
        <w:rPr>
          <w:rFonts w:ascii="Arial" w:hAnsi="Arial" w:cs="Arial"/>
          <w:lang w:val="en-US"/>
        </w:rPr>
      </w:pPr>
      <w:r>
        <w:rPr>
          <w:rFonts w:ascii="Arial" w:hAnsi="Arial" w:cs="Arial"/>
          <w:lang w:val="en-US"/>
        </w:rPr>
        <w:t>The browse wrap agreement, like the click wrap agreement, is a digital contract found online. The difference is, however, that the browse wrap agreement purports to be binding without the consumer even being aware of the agreement.</w:t>
      </w:r>
      <w:r>
        <w:rPr>
          <w:rStyle w:val="FootnoteReference"/>
          <w:rFonts w:ascii="Arial" w:hAnsi="Arial" w:cs="Arial"/>
          <w:lang w:val="en-US"/>
        </w:rPr>
        <w:footnoteReference w:id="32"/>
      </w:r>
      <w:r>
        <w:rPr>
          <w:rFonts w:ascii="Arial" w:hAnsi="Arial" w:cs="Arial"/>
          <w:lang w:val="en-US"/>
        </w:rPr>
        <w:t xml:space="preserve"> Instead, the consumer is considered to be consenting to the terms and conditions through their browsing of the website.</w:t>
      </w:r>
      <w:r>
        <w:rPr>
          <w:rStyle w:val="FootnoteReference"/>
          <w:rFonts w:ascii="Arial" w:hAnsi="Arial" w:cs="Arial"/>
          <w:lang w:val="en-US"/>
        </w:rPr>
        <w:footnoteReference w:id="33"/>
      </w:r>
      <w:r>
        <w:rPr>
          <w:rFonts w:ascii="Arial" w:hAnsi="Arial" w:cs="Arial"/>
          <w:lang w:val="en-US"/>
        </w:rPr>
        <w:t xml:space="preserve"> These terms and conditions may be related to any future transactions taking place on the website, or to do with the privacy of the user and the ways in which their data will be handled (or mishandled). Browse wrap agreements have had a mixed judicial reception, and in </w:t>
      </w:r>
      <w:r>
        <w:rPr>
          <w:rFonts w:ascii="Arial" w:hAnsi="Arial" w:cs="Arial"/>
          <w:i/>
          <w:iCs/>
          <w:lang w:val="en-US"/>
        </w:rPr>
        <w:t xml:space="preserve">Specht v Netscape Communications Corp, </w:t>
      </w:r>
      <w:r>
        <w:rPr>
          <w:rFonts w:ascii="Arial" w:hAnsi="Arial" w:cs="Arial"/>
          <w:lang w:val="en-US"/>
        </w:rPr>
        <w:t>a browse wrap agreement was struck down on the basis that the terms were not sufficiently conspicuous.</w:t>
      </w:r>
      <w:r>
        <w:rPr>
          <w:rStyle w:val="FootnoteReference"/>
          <w:rFonts w:ascii="Arial" w:hAnsi="Arial" w:cs="Arial"/>
          <w:lang w:val="en-US"/>
        </w:rPr>
        <w:footnoteReference w:id="34"/>
      </w:r>
      <w:r>
        <w:rPr>
          <w:rFonts w:ascii="Arial" w:hAnsi="Arial" w:cs="Arial"/>
          <w:lang w:val="en-US"/>
        </w:rPr>
        <w:t xml:space="preserve"> In contrast, several browse wrap agreements were upheld as binding in </w:t>
      </w:r>
      <w:r>
        <w:rPr>
          <w:rFonts w:ascii="Arial" w:hAnsi="Arial" w:cs="Arial"/>
          <w:i/>
          <w:iCs/>
          <w:lang w:val="en-US"/>
        </w:rPr>
        <w:t xml:space="preserve">Hubbert v Dell Corp </w:t>
      </w:r>
      <w:r>
        <w:rPr>
          <w:rFonts w:ascii="Arial" w:hAnsi="Arial" w:cs="Arial"/>
          <w:lang w:val="en-US"/>
        </w:rPr>
        <w:t>due to statements on the webpages which stated that “all sales are subject to Dell’s terms and conditions of sale.”</w:t>
      </w:r>
      <w:r>
        <w:rPr>
          <w:rStyle w:val="FootnoteReference"/>
          <w:rFonts w:ascii="Arial" w:hAnsi="Arial" w:cs="Arial"/>
          <w:lang w:val="en-US"/>
        </w:rPr>
        <w:footnoteReference w:id="35"/>
      </w:r>
      <w:r>
        <w:rPr>
          <w:rFonts w:ascii="Arial" w:hAnsi="Arial" w:cs="Arial"/>
          <w:lang w:val="en-US"/>
        </w:rPr>
        <w:t xml:space="preserve"> Binding constructive </w:t>
      </w:r>
      <w:r>
        <w:rPr>
          <w:rFonts w:ascii="Arial" w:hAnsi="Arial" w:cs="Arial"/>
          <w:lang w:val="en-US"/>
        </w:rPr>
        <w:lastRenderedPageBreak/>
        <w:t>notice is a far cry from informed consent, and is part of, as Margaret Radin argues, a process of “normative degradation, meaning it gets farther and farther away from the normative basis of contractual obligation.”</w:t>
      </w:r>
      <w:r>
        <w:rPr>
          <w:rStyle w:val="FootnoteReference"/>
          <w:rFonts w:ascii="Arial" w:hAnsi="Arial" w:cs="Arial"/>
          <w:lang w:val="en-US"/>
        </w:rPr>
        <w:footnoteReference w:id="36"/>
      </w:r>
      <w:r>
        <w:rPr>
          <w:rFonts w:ascii="Arial" w:hAnsi="Arial" w:cs="Arial"/>
          <w:lang w:val="en-US"/>
        </w:rPr>
        <w:t xml:space="preserve"> The normative degradation evident in browse wrap raises concern for New Zealand consumers owing to browse wrap’s prevalence.</w:t>
      </w:r>
      <w:r>
        <w:rPr>
          <w:rStyle w:val="FootnoteReference"/>
          <w:rFonts w:ascii="Arial" w:hAnsi="Arial" w:cs="Arial"/>
          <w:lang w:val="en-US"/>
        </w:rPr>
        <w:footnoteReference w:id="37"/>
      </w:r>
    </w:p>
    <w:p w14:paraId="0E058000" w14:textId="77777777" w:rsidR="00CC7EB4" w:rsidRPr="00991D6E" w:rsidRDefault="00CC7EB4" w:rsidP="00CC7EB4">
      <w:pPr>
        <w:spacing w:after="160" w:line="360" w:lineRule="auto"/>
        <w:jc w:val="both"/>
        <w:rPr>
          <w:rFonts w:ascii="Arial" w:hAnsi="Arial" w:cs="Arial"/>
          <w:i/>
          <w:iCs/>
          <w:sz w:val="28"/>
          <w:szCs w:val="28"/>
        </w:rPr>
      </w:pPr>
      <w:r w:rsidRPr="00991D6E">
        <w:rPr>
          <w:rFonts w:ascii="Arial" w:hAnsi="Arial" w:cs="Arial"/>
          <w:i/>
          <w:iCs/>
          <w:sz w:val="28"/>
          <w:szCs w:val="28"/>
        </w:rPr>
        <w:t>I</w:t>
      </w:r>
      <w:r>
        <w:rPr>
          <w:rFonts w:ascii="Arial" w:hAnsi="Arial" w:cs="Arial"/>
          <w:i/>
          <w:iCs/>
          <w:sz w:val="28"/>
          <w:szCs w:val="28"/>
        </w:rPr>
        <w:t xml:space="preserve">I        </w:t>
      </w:r>
      <w:r w:rsidRPr="00991D6E">
        <w:rPr>
          <w:rFonts w:ascii="Arial" w:hAnsi="Arial" w:cs="Arial"/>
          <w:i/>
          <w:iCs/>
          <w:sz w:val="28"/>
          <w:szCs w:val="28"/>
        </w:rPr>
        <w:t>Common problems with standard form contracts</w:t>
      </w:r>
    </w:p>
    <w:p w14:paraId="040C3906" w14:textId="77777777" w:rsidR="00CC7EB4" w:rsidRDefault="00CC7EB4" w:rsidP="00CC7EB4">
      <w:pPr>
        <w:spacing w:after="160" w:line="360" w:lineRule="auto"/>
        <w:jc w:val="both"/>
        <w:rPr>
          <w:rFonts w:ascii="Arial" w:hAnsi="Arial" w:cs="Arial"/>
        </w:rPr>
      </w:pPr>
      <w:r>
        <w:rPr>
          <w:rFonts w:ascii="Arial" w:hAnsi="Arial" w:cs="Arial"/>
        </w:rPr>
        <w:t>Standard form contracts are overwhelmingly drafted in a one-sided manner with the drafters interest in mind.</w:t>
      </w:r>
      <w:r>
        <w:rPr>
          <w:rStyle w:val="FootnoteReference"/>
          <w:rFonts w:ascii="Arial" w:hAnsi="Arial" w:cs="Arial"/>
        </w:rPr>
        <w:footnoteReference w:id="38"/>
      </w:r>
      <w:r>
        <w:rPr>
          <w:rFonts w:ascii="Arial" w:hAnsi="Arial" w:cs="Arial"/>
        </w:rPr>
        <w:t xml:space="preserve"> The standard form contract is therefore a convenient way for the hypothetical business to safeguard its interests. If the business is worried about non-performance, it can draft an exemption clause.</w:t>
      </w:r>
      <w:r>
        <w:rPr>
          <w:rStyle w:val="FootnoteReference"/>
          <w:rFonts w:ascii="Arial" w:hAnsi="Arial" w:cs="Arial"/>
        </w:rPr>
        <w:footnoteReference w:id="39"/>
      </w:r>
      <w:r>
        <w:rPr>
          <w:rFonts w:ascii="Arial" w:hAnsi="Arial" w:cs="Arial"/>
        </w:rPr>
        <w:t xml:space="preserve"> If concerned about the operation of a particular country’s laws, it can draft a governing law clause.</w:t>
      </w:r>
      <w:r>
        <w:rPr>
          <w:rStyle w:val="FootnoteReference"/>
          <w:rFonts w:ascii="Arial" w:hAnsi="Arial" w:cs="Arial"/>
        </w:rPr>
        <w:footnoteReference w:id="40"/>
      </w:r>
      <w:r>
        <w:rPr>
          <w:rFonts w:ascii="Arial" w:hAnsi="Arial" w:cs="Arial"/>
        </w:rPr>
        <w:t xml:space="preserve"> But conversely, and by definition, a consumer has no input into the content and terms of a standard form contract. They are beholden to the good grace of the party with which they are contracting. It is this one-sided relationship between the parties to a standard form contract that led Friedrich Kessler to label standard form contracts as “private legislation.”</w:t>
      </w:r>
      <w:r>
        <w:rPr>
          <w:rStyle w:val="FootnoteReference"/>
          <w:rFonts w:ascii="Arial" w:hAnsi="Arial" w:cs="Arial"/>
        </w:rPr>
        <w:footnoteReference w:id="41"/>
      </w:r>
      <w:r>
        <w:rPr>
          <w:rFonts w:ascii="Arial" w:hAnsi="Arial" w:cs="Arial"/>
        </w:rPr>
        <w:t xml:space="preserve"> The inequality between the parties (the governor and the governed) is further amplified in the case of unconscionable conduct and unfair contract terms. Again, the governed party is bound to comply with a set of terms in which they had no input (and likely did not even read). But now the cards are stacked against them. Maybe they cannot access dispute resolution, as was the case in </w:t>
      </w:r>
      <w:r>
        <w:rPr>
          <w:rFonts w:ascii="Arial" w:hAnsi="Arial" w:cs="Arial"/>
          <w:i/>
          <w:iCs/>
        </w:rPr>
        <w:t>Uber v Heller.</w:t>
      </w:r>
      <w:r w:rsidRPr="00FB5D77">
        <w:rPr>
          <w:rStyle w:val="FootnoteReference"/>
          <w:rFonts w:ascii="Arial" w:hAnsi="Arial" w:cs="Arial"/>
        </w:rPr>
        <w:footnoteReference w:id="42"/>
      </w:r>
      <w:r>
        <w:rPr>
          <w:rFonts w:ascii="Arial" w:hAnsi="Arial" w:cs="Arial"/>
          <w:i/>
          <w:iCs/>
        </w:rPr>
        <w:t xml:space="preserve"> </w:t>
      </w:r>
      <w:r>
        <w:rPr>
          <w:rFonts w:ascii="Arial" w:hAnsi="Arial" w:cs="Arial"/>
        </w:rPr>
        <w:t xml:space="preserve">Maybe their money is no longer liquid, and instead tied to a loyalty scheme, as was the case in </w:t>
      </w:r>
      <w:r>
        <w:rPr>
          <w:rFonts w:ascii="Arial" w:hAnsi="Arial" w:cs="Arial"/>
          <w:i/>
          <w:iCs/>
        </w:rPr>
        <w:t>CC v Home Direct.</w:t>
      </w:r>
      <w:r w:rsidRPr="00FB5D77">
        <w:rPr>
          <w:rStyle w:val="FootnoteReference"/>
          <w:rFonts w:ascii="Arial" w:hAnsi="Arial" w:cs="Arial"/>
        </w:rPr>
        <w:footnoteReference w:id="43"/>
      </w:r>
      <w:r>
        <w:rPr>
          <w:rFonts w:ascii="Arial" w:hAnsi="Arial" w:cs="Arial"/>
        </w:rPr>
        <w:t xml:space="preserve"> </w:t>
      </w:r>
    </w:p>
    <w:p w14:paraId="63F4576C" w14:textId="77777777" w:rsidR="00CC7EB4" w:rsidRPr="00511D8B" w:rsidRDefault="00CC7EB4" w:rsidP="00CC7EB4">
      <w:pPr>
        <w:spacing w:after="160" w:line="360" w:lineRule="auto"/>
        <w:jc w:val="both"/>
        <w:rPr>
          <w:rFonts w:ascii="Arial" w:hAnsi="Arial" w:cs="Arial"/>
        </w:rPr>
      </w:pPr>
      <w:r>
        <w:rPr>
          <w:rFonts w:ascii="Arial" w:hAnsi="Arial" w:cs="Arial"/>
        </w:rPr>
        <w:t xml:space="preserve">Standard form contracts sit uncomfortably within the framework of contract due to their notional consent and the ignorance of its parties. Contract law is premised on agreement, whereby the parties negotiate terms and have an objective understanding </w:t>
      </w:r>
      <w:r>
        <w:rPr>
          <w:rFonts w:ascii="Arial" w:hAnsi="Arial" w:cs="Arial"/>
        </w:rPr>
        <w:lastRenderedPageBreak/>
        <w:t>of terms.</w:t>
      </w:r>
      <w:r>
        <w:rPr>
          <w:rStyle w:val="FootnoteReference"/>
          <w:rFonts w:ascii="Arial" w:hAnsi="Arial" w:cs="Arial"/>
        </w:rPr>
        <w:footnoteReference w:id="44"/>
      </w:r>
      <w:r>
        <w:rPr>
          <w:rFonts w:ascii="Arial" w:hAnsi="Arial" w:cs="Arial"/>
        </w:rPr>
        <w:t xml:space="preserve"> Consumers are legally bound by standard form contracts, even where they have not read its terms.</w:t>
      </w:r>
      <w:r>
        <w:rPr>
          <w:rStyle w:val="FootnoteReference"/>
          <w:rFonts w:ascii="Arial" w:hAnsi="Arial" w:cs="Arial"/>
        </w:rPr>
        <w:footnoteReference w:id="45"/>
      </w:r>
      <w:r>
        <w:rPr>
          <w:rFonts w:ascii="Arial" w:hAnsi="Arial" w:cs="Arial"/>
        </w:rPr>
        <w:t xml:space="preserve"> This has the potential to result in absurdity, particularly with so-called “shrink wrap contracts” in which consumers only receive the contract after purchasing goods and finalising the transaction. Academics have been alive to these issues for nearly a century, with some saying that standard form contracts are contracts by name only.</w:t>
      </w:r>
      <w:r>
        <w:rPr>
          <w:rStyle w:val="FootnoteReference"/>
          <w:rFonts w:ascii="Arial" w:hAnsi="Arial" w:cs="Arial"/>
        </w:rPr>
        <w:footnoteReference w:id="46"/>
      </w:r>
      <w:r>
        <w:rPr>
          <w:rFonts w:ascii="Arial" w:hAnsi="Arial" w:cs="Arial"/>
        </w:rPr>
        <w:t xml:space="preserve"> Others take the opposite approach, arguing that voluntary agreement “isn’t all that sacred.”</w:t>
      </w:r>
      <w:r>
        <w:rPr>
          <w:rStyle w:val="FootnoteReference"/>
          <w:rFonts w:ascii="Arial" w:hAnsi="Arial" w:cs="Arial"/>
        </w:rPr>
        <w:footnoteReference w:id="47"/>
      </w:r>
      <w:r>
        <w:rPr>
          <w:rFonts w:ascii="Arial" w:hAnsi="Arial" w:cs="Arial"/>
        </w:rPr>
        <w:t xml:space="preserve"> An array of solutions to the lack of consent have been proposed, many of which, I argue, miss the mark. To provide some context on the issue of standard form contracts, I trace their historical development and just how the courts have struggled to deal with their application.</w:t>
      </w:r>
    </w:p>
    <w:p w14:paraId="2FCAA593" w14:textId="77777777" w:rsidR="00CC7EB4" w:rsidRPr="00CA37E0" w:rsidRDefault="00CC7EB4" w:rsidP="00CC7EB4">
      <w:pPr>
        <w:spacing w:after="160" w:line="360" w:lineRule="auto"/>
        <w:jc w:val="both"/>
        <w:rPr>
          <w:rFonts w:ascii="Arial" w:hAnsi="Arial" w:cs="Arial"/>
          <w:i/>
          <w:iCs/>
          <w:sz w:val="28"/>
          <w:szCs w:val="28"/>
          <w:lang w:val="en-US"/>
        </w:rPr>
      </w:pPr>
      <w:r>
        <w:rPr>
          <w:rFonts w:ascii="Arial" w:hAnsi="Arial" w:cs="Arial"/>
          <w:i/>
          <w:iCs/>
          <w:sz w:val="28"/>
          <w:szCs w:val="28"/>
          <w:lang w:val="en-US"/>
        </w:rPr>
        <w:t xml:space="preserve">III        </w:t>
      </w:r>
      <w:r w:rsidRPr="00CA37E0">
        <w:rPr>
          <w:rFonts w:ascii="Arial" w:hAnsi="Arial" w:cs="Arial"/>
          <w:i/>
          <w:iCs/>
          <w:sz w:val="28"/>
          <w:szCs w:val="28"/>
          <w:lang w:val="en-US"/>
        </w:rPr>
        <w:t>History of standard form contracts</w:t>
      </w:r>
    </w:p>
    <w:p w14:paraId="0C3EBBFE" w14:textId="77777777" w:rsidR="00CC7EB4" w:rsidRDefault="00CC7EB4" w:rsidP="00CC7EB4">
      <w:pPr>
        <w:spacing w:after="160" w:line="360" w:lineRule="auto"/>
        <w:jc w:val="both"/>
        <w:rPr>
          <w:rFonts w:ascii="Arial" w:hAnsi="Arial" w:cs="Arial"/>
          <w:color w:val="000000"/>
        </w:rPr>
      </w:pPr>
      <w:r>
        <w:rPr>
          <w:rFonts w:ascii="Arial" w:hAnsi="Arial" w:cs="Arial"/>
          <w:color w:val="000000"/>
        </w:rPr>
        <w:t>Standard form contracts have represented a significant problem for consumers since the 19</w:t>
      </w:r>
      <w:r w:rsidRPr="00AF0546">
        <w:rPr>
          <w:rFonts w:ascii="Arial" w:hAnsi="Arial" w:cs="Arial"/>
          <w:color w:val="000000"/>
          <w:vertAlign w:val="superscript"/>
        </w:rPr>
        <w:t>th</w:t>
      </w:r>
      <w:r>
        <w:rPr>
          <w:rFonts w:ascii="Arial" w:hAnsi="Arial" w:cs="Arial"/>
          <w:color w:val="000000"/>
        </w:rPr>
        <w:t xml:space="preserve"> century.</w:t>
      </w:r>
      <w:r>
        <w:rPr>
          <w:rStyle w:val="FootnoteReference"/>
          <w:rFonts w:ascii="Arial" w:hAnsi="Arial" w:cs="Arial"/>
          <w:color w:val="000000"/>
        </w:rPr>
        <w:footnoteReference w:id="48"/>
      </w:r>
      <w:r>
        <w:rPr>
          <w:rFonts w:ascii="Arial" w:hAnsi="Arial" w:cs="Arial"/>
          <w:color w:val="000000"/>
        </w:rPr>
        <w:t xml:space="preserve"> As the United Kingdom industrialised, so too did the consumer society. Consumers turned to the butcher, the baker and the brewer for their daily foodstuffs.</w:t>
      </w:r>
      <w:r>
        <w:rPr>
          <w:rStyle w:val="FootnoteReference"/>
          <w:rFonts w:ascii="Arial" w:hAnsi="Arial" w:cs="Arial"/>
          <w:color w:val="000000"/>
        </w:rPr>
        <w:footnoteReference w:id="49"/>
      </w:r>
      <w:r>
        <w:rPr>
          <w:rFonts w:ascii="Arial" w:hAnsi="Arial" w:cs="Arial"/>
          <w:color w:val="000000"/>
        </w:rPr>
        <w:t xml:space="preserve"> A flourishing middle class were now able to travel by train.</w:t>
      </w:r>
      <w:r>
        <w:rPr>
          <w:rStyle w:val="FootnoteReference"/>
          <w:rFonts w:ascii="Arial" w:hAnsi="Arial" w:cs="Arial"/>
          <w:color w:val="000000"/>
        </w:rPr>
        <w:footnoteReference w:id="50"/>
      </w:r>
      <w:r>
        <w:rPr>
          <w:rFonts w:ascii="Arial" w:hAnsi="Arial" w:cs="Arial"/>
          <w:color w:val="000000"/>
        </w:rPr>
        <w:t xml:space="preserve"> Conspicuous consumption, the spending of money on luxury commodities (particularly by the nouveau riche) was first documented as a sociological phenomenon.</w:t>
      </w:r>
      <w:r>
        <w:rPr>
          <w:rStyle w:val="FootnoteReference"/>
          <w:rFonts w:ascii="Arial" w:hAnsi="Arial" w:cs="Arial"/>
          <w:color w:val="000000"/>
        </w:rPr>
        <w:footnoteReference w:id="51"/>
      </w:r>
      <w:r>
        <w:rPr>
          <w:rFonts w:ascii="Arial" w:hAnsi="Arial" w:cs="Arial"/>
          <w:color w:val="000000"/>
        </w:rPr>
        <w:t xml:space="preserve"> The increasing consumerism of the United Kingdom precipitated the rise of the standard form contract, with transactions aplenty and individual negotiation no longer being efficient. It did not take long, however, for business to realise that they could insert whatever terms they liked into their contracts. After all, freedom of contract was paramount. Characteristic of the prevailing legal philosophy of the era is the following quote by Sir </w:t>
      </w:r>
      <w:r>
        <w:rPr>
          <w:rFonts w:ascii="Arial" w:hAnsi="Arial" w:cs="Arial"/>
          <w:color w:val="000000"/>
        </w:rPr>
        <w:lastRenderedPageBreak/>
        <w:t xml:space="preserve">George Jessell MR in </w:t>
      </w:r>
      <w:r>
        <w:rPr>
          <w:rFonts w:ascii="Arial" w:hAnsi="Arial" w:cs="Arial"/>
          <w:i/>
          <w:iCs/>
          <w:color w:val="000000"/>
        </w:rPr>
        <w:t xml:space="preserve">Printing and Numerical Registering Co v Samson, </w:t>
      </w:r>
      <w:r>
        <w:rPr>
          <w:rFonts w:ascii="Arial" w:hAnsi="Arial" w:cs="Arial"/>
          <w:color w:val="000000"/>
        </w:rPr>
        <w:t>where he stated that:</w:t>
      </w:r>
      <w:r>
        <w:rPr>
          <w:rStyle w:val="FootnoteReference"/>
          <w:rFonts w:ascii="Arial" w:hAnsi="Arial" w:cs="Arial"/>
          <w:color w:val="000000"/>
        </w:rPr>
        <w:footnoteReference w:id="52"/>
      </w:r>
    </w:p>
    <w:p w14:paraId="5DBEAC9B" w14:textId="77777777" w:rsidR="00CC7EB4" w:rsidRPr="009E5B99" w:rsidRDefault="00CC7EB4" w:rsidP="00CC7EB4">
      <w:pPr>
        <w:spacing w:after="160" w:line="360" w:lineRule="auto"/>
        <w:ind w:left="720"/>
        <w:jc w:val="both"/>
        <w:rPr>
          <w:rFonts w:ascii="Arial" w:hAnsi="Arial" w:cs="Arial"/>
          <w:color w:val="000000"/>
        </w:rPr>
      </w:pPr>
      <w:r w:rsidRPr="00AC577A">
        <w:rPr>
          <w:rFonts w:ascii="Arial" w:hAnsi="Arial" w:cs="Arial"/>
          <w:sz w:val="22"/>
          <w:szCs w:val="22"/>
        </w:rPr>
        <w:t>“If there is one which more than another public policy requires it is that men of full age and competent understanding shall have the utmost liberty of contracting, and that their contracts when entered into freely and voluntarily shall be held sacred and shall be enforced by Courts of justice. Therefore, you have the paramount public policy to consider – that you are not lightly to interfere with the freedom of contract.”</w:t>
      </w:r>
    </w:p>
    <w:p w14:paraId="76F08C06" w14:textId="77777777" w:rsidR="00CC7EB4" w:rsidRPr="00B85F9B" w:rsidRDefault="00CC7EB4" w:rsidP="00CC7EB4">
      <w:pPr>
        <w:spacing w:after="160" w:line="360" w:lineRule="auto"/>
        <w:jc w:val="both"/>
        <w:rPr>
          <w:rFonts w:ascii="Arial" w:hAnsi="Arial" w:cs="Arial"/>
          <w:color w:val="000000"/>
        </w:rPr>
      </w:pPr>
      <w:r>
        <w:rPr>
          <w:rFonts w:ascii="Arial" w:hAnsi="Arial" w:cs="Arial"/>
          <w:color w:val="000000"/>
        </w:rPr>
        <w:t xml:space="preserve">Broad exemption clauses followed, which purported to limit liability for damage and even death. These exemption clauses were typically in small print and opaque to the customer. </w:t>
      </w:r>
      <w:r w:rsidRPr="002B48D1">
        <w:rPr>
          <w:rFonts w:ascii="Arial" w:hAnsi="Arial" w:cs="Arial"/>
          <w:color w:val="000000"/>
        </w:rPr>
        <w:t>Several introductory contract cases illustrate the problems faced by the courts in interpreting exemption clauses</w:t>
      </w:r>
      <w:r>
        <w:rPr>
          <w:rFonts w:ascii="Arial" w:hAnsi="Arial" w:cs="Arial"/>
          <w:color w:val="000000"/>
        </w:rPr>
        <w:t>.</w:t>
      </w:r>
      <w:r>
        <w:rPr>
          <w:rStyle w:val="FootnoteReference"/>
          <w:rFonts w:ascii="Arial" w:hAnsi="Arial" w:cs="Arial"/>
          <w:color w:val="000000"/>
        </w:rPr>
        <w:footnoteReference w:id="53"/>
      </w:r>
      <w:r>
        <w:rPr>
          <w:rFonts w:ascii="Arial" w:hAnsi="Arial" w:cs="Arial"/>
          <w:color w:val="000000"/>
        </w:rPr>
        <w:t xml:space="preserve"> For example, in </w:t>
      </w:r>
      <w:r>
        <w:rPr>
          <w:rFonts w:ascii="Arial" w:hAnsi="Arial" w:cs="Arial"/>
          <w:i/>
          <w:iCs/>
          <w:color w:val="000000"/>
        </w:rPr>
        <w:t xml:space="preserve">Thompson v London, Midland and Scottish Railway Company </w:t>
      </w:r>
      <w:r>
        <w:rPr>
          <w:rFonts w:ascii="Arial" w:hAnsi="Arial" w:cs="Arial"/>
          <w:color w:val="000000"/>
        </w:rPr>
        <w:t>[1930]</w:t>
      </w:r>
      <w:r>
        <w:rPr>
          <w:rFonts w:ascii="Arial" w:hAnsi="Arial" w:cs="Arial"/>
          <w:i/>
          <w:iCs/>
          <w:color w:val="000000"/>
        </w:rPr>
        <w:t xml:space="preserve">, </w:t>
      </w:r>
      <w:r>
        <w:rPr>
          <w:rFonts w:ascii="Arial" w:hAnsi="Arial" w:cs="Arial"/>
          <w:color w:val="000000"/>
        </w:rPr>
        <w:t>Mrs Thompson slipped while leaving a train, injuring herself and seeking damages for personal injury.</w:t>
      </w:r>
      <w:r>
        <w:rPr>
          <w:rStyle w:val="FootnoteReference"/>
          <w:rFonts w:ascii="Arial" w:hAnsi="Arial" w:cs="Arial"/>
          <w:color w:val="000000"/>
        </w:rPr>
        <w:footnoteReference w:id="54"/>
      </w:r>
      <w:r>
        <w:rPr>
          <w:rFonts w:ascii="Arial" w:hAnsi="Arial" w:cs="Arial"/>
          <w:color w:val="000000"/>
        </w:rPr>
        <w:t xml:space="preserve"> The train company disclaimed liability on the basis that her ticket had an exemption clause on the back, which stated that no rights of action were available against the company for injury, however caused.</w:t>
      </w:r>
      <w:r>
        <w:rPr>
          <w:rStyle w:val="FootnoteReference"/>
          <w:rFonts w:ascii="Arial" w:hAnsi="Arial" w:cs="Arial"/>
          <w:color w:val="000000"/>
        </w:rPr>
        <w:footnoteReference w:id="55"/>
      </w:r>
      <w:r>
        <w:rPr>
          <w:rFonts w:ascii="Arial" w:hAnsi="Arial" w:cs="Arial"/>
          <w:color w:val="000000"/>
        </w:rPr>
        <w:t xml:space="preserve"> Her purchasing the train ticket meant that the contract was complete and she was bound to its terms.</w:t>
      </w:r>
      <w:r>
        <w:rPr>
          <w:rStyle w:val="FootnoteReference"/>
          <w:rFonts w:ascii="Arial" w:hAnsi="Arial" w:cs="Arial"/>
          <w:color w:val="000000"/>
        </w:rPr>
        <w:footnoteReference w:id="56"/>
      </w:r>
      <w:r>
        <w:rPr>
          <w:rFonts w:ascii="Arial" w:hAnsi="Arial" w:cs="Arial"/>
          <w:color w:val="000000"/>
        </w:rPr>
        <w:t xml:space="preserve"> The problem was that Mrs Thompson could not read. How could she consent or be bound to the terms of a document which she could not physically read? This small problem was neatly sidestepped by the court in finding that the company took reasonable steps to bring to the notice of the plaintiff the terms and conditions.</w:t>
      </w:r>
      <w:r>
        <w:rPr>
          <w:rStyle w:val="FootnoteReference"/>
          <w:rFonts w:ascii="Arial" w:hAnsi="Arial" w:cs="Arial"/>
          <w:color w:val="000000"/>
        </w:rPr>
        <w:footnoteReference w:id="57"/>
      </w:r>
      <w:r>
        <w:rPr>
          <w:rFonts w:ascii="Arial" w:hAnsi="Arial" w:cs="Arial"/>
          <w:color w:val="000000"/>
        </w:rPr>
        <w:t xml:space="preserve"> The ticket itself was deemed evidence of the reasonable steps taken.</w:t>
      </w:r>
      <w:r>
        <w:rPr>
          <w:rStyle w:val="FootnoteReference"/>
          <w:rFonts w:ascii="Arial" w:hAnsi="Arial" w:cs="Arial"/>
          <w:color w:val="000000"/>
        </w:rPr>
        <w:footnoteReference w:id="58"/>
      </w:r>
      <w:r>
        <w:rPr>
          <w:rFonts w:ascii="Arial" w:hAnsi="Arial" w:cs="Arial"/>
          <w:color w:val="000000"/>
        </w:rPr>
        <w:t xml:space="preserve"> Again, in </w:t>
      </w:r>
      <w:r>
        <w:rPr>
          <w:rFonts w:ascii="Arial" w:hAnsi="Arial" w:cs="Arial"/>
          <w:i/>
          <w:iCs/>
          <w:color w:val="000000"/>
        </w:rPr>
        <w:t xml:space="preserve">L’Estrange v F Graucob, </w:t>
      </w:r>
      <w:r>
        <w:rPr>
          <w:rFonts w:ascii="Arial" w:hAnsi="Arial" w:cs="Arial"/>
          <w:color w:val="000000"/>
        </w:rPr>
        <w:t>we see the trouble of consent.</w:t>
      </w:r>
      <w:r>
        <w:rPr>
          <w:rStyle w:val="FootnoteReference"/>
          <w:rFonts w:ascii="Arial" w:hAnsi="Arial" w:cs="Arial"/>
          <w:color w:val="000000"/>
        </w:rPr>
        <w:footnoteReference w:id="59"/>
      </w:r>
      <w:r>
        <w:rPr>
          <w:rFonts w:ascii="Arial" w:hAnsi="Arial" w:cs="Arial"/>
          <w:color w:val="000000"/>
        </w:rPr>
        <w:t xml:space="preserve"> Miss L’Estrange was sold a cigarette machine by two travelling salesmen. The contract she signed incorporated a number of terms, including in small print a waiver of any implied condition or warranty.</w:t>
      </w:r>
      <w:r>
        <w:rPr>
          <w:rStyle w:val="FootnoteReference"/>
          <w:rFonts w:ascii="Arial" w:hAnsi="Arial" w:cs="Arial"/>
          <w:color w:val="000000"/>
        </w:rPr>
        <w:footnoteReference w:id="60"/>
      </w:r>
      <w:r>
        <w:rPr>
          <w:rFonts w:ascii="Arial" w:hAnsi="Arial" w:cs="Arial"/>
          <w:color w:val="000000"/>
        </w:rPr>
        <w:t xml:space="preserve"> Shortly after delivery, the cigarette machine jammed. Miss L’Estrange refused to pay further instalments and sued for the sums paid on the basis that the machine was not fit for purpose. The company simply pointed at the exclusion </w:t>
      </w:r>
      <w:r>
        <w:rPr>
          <w:rFonts w:ascii="Arial" w:hAnsi="Arial" w:cs="Arial"/>
          <w:color w:val="000000"/>
        </w:rPr>
        <w:lastRenderedPageBreak/>
        <w:t>clause stating that there was no warranty as to condition. The Court of Appeal found that the exclusion clause formed part of the contract, irrespective of the fact that L’Estrange had not read the clause.</w:t>
      </w:r>
      <w:r w:rsidRPr="008C3082">
        <w:rPr>
          <w:rStyle w:val="FootnoteReference"/>
          <w:rFonts w:ascii="Arial" w:hAnsi="Arial" w:cs="Arial"/>
          <w:color w:val="000000" w:themeColor="text1"/>
        </w:rPr>
        <w:footnoteReference w:id="61"/>
      </w:r>
      <w:r>
        <w:rPr>
          <w:rFonts w:ascii="Arial" w:hAnsi="Arial" w:cs="Arial"/>
          <w:color w:val="000000" w:themeColor="text1"/>
        </w:rPr>
        <w:t xml:space="preserve"> </w:t>
      </w:r>
    </w:p>
    <w:p w14:paraId="0538BA98" w14:textId="77777777" w:rsidR="00CC7EB4" w:rsidRDefault="00CC7EB4" w:rsidP="00CC7EB4">
      <w:pPr>
        <w:spacing w:after="160" w:line="360" w:lineRule="auto"/>
        <w:jc w:val="both"/>
        <w:rPr>
          <w:rFonts w:ascii="Arial" w:hAnsi="Arial" w:cs="Arial"/>
          <w:color w:val="000000"/>
        </w:rPr>
      </w:pPr>
      <w:r>
        <w:rPr>
          <w:rFonts w:ascii="Arial" w:hAnsi="Arial" w:cs="Arial"/>
          <w:color w:val="000000"/>
        </w:rPr>
        <w:t>The problem of standard form contract and unfair contract terms was perhaps most traversed by Lord Denning MR. In</w:t>
      </w:r>
      <w:r w:rsidRPr="002B48D1">
        <w:rPr>
          <w:rFonts w:ascii="Arial" w:hAnsi="Arial" w:cs="Arial"/>
          <w:color w:val="000000"/>
        </w:rPr>
        <w:t xml:space="preserve"> </w:t>
      </w:r>
      <w:r w:rsidRPr="002B48D1">
        <w:rPr>
          <w:rFonts w:ascii="Arial" w:hAnsi="Arial" w:cs="Arial"/>
          <w:i/>
          <w:iCs/>
          <w:color w:val="000000"/>
        </w:rPr>
        <w:t>J Spurling Ltd v Bradshaw,</w:t>
      </w:r>
      <w:r>
        <w:rPr>
          <w:rFonts w:ascii="Arial" w:hAnsi="Arial" w:cs="Arial"/>
          <w:i/>
          <w:iCs/>
          <w:color w:val="000000"/>
        </w:rPr>
        <w:t xml:space="preserve"> </w:t>
      </w:r>
      <w:r>
        <w:rPr>
          <w:rFonts w:ascii="Arial" w:hAnsi="Arial" w:cs="Arial"/>
          <w:color w:val="000000"/>
        </w:rPr>
        <w:t>for example,</w:t>
      </w:r>
      <w:r w:rsidRPr="002B48D1">
        <w:rPr>
          <w:rFonts w:ascii="Arial" w:hAnsi="Arial" w:cs="Arial"/>
          <w:i/>
          <w:iCs/>
          <w:color w:val="000000"/>
        </w:rPr>
        <w:t xml:space="preserve"> </w:t>
      </w:r>
      <w:r w:rsidRPr="002B48D1">
        <w:rPr>
          <w:rFonts w:ascii="Arial" w:hAnsi="Arial" w:cs="Arial"/>
          <w:color w:val="000000"/>
        </w:rPr>
        <w:t xml:space="preserve">Denning LJ </w:t>
      </w:r>
      <w:r>
        <w:rPr>
          <w:rFonts w:ascii="Arial" w:hAnsi="Arial" w:cs="Arial"/>
          <w:color w:val="000000"/>
        </w:rPr>
        <w:t>(as he then was) noted the problem of unfair contract terms:</w:t>
      </w:r>
      <w:r>
        <w:rPr>
          <w:rStyle w:val="FootnoteReference"/>
          <w:rFonts w:ascii="Arial" w:hAnsi="Arial" w:cs="Arial"/>
          <w:color w:val="000000"/>
        </w:rPr>
        <w:footnoteReference w:id="62"/>
      </w:r>
    </w:p>
    <w:p w14:paraId="6C5B08CC" w14:textId="77777777" w:rsidR="00CC7EB4" w:rsidRPr="007E218F" w:rsidRDefault="00CC7EB4" w:rsidP="00CC7EB4">
      <w:pPr>
        <w:spacing w:after="160" w:line="360" w:lineRule="auto"/>
        <w:ind w:left="720"/>
        <w:jc w:val="both"/>
        <w:rPr>
          <w:rFonts w:ascii="Arial" w:hAnsi="Arial" w:cs="Arial"/>
          <w:color w:val="000000"/>
          <w:sz w:val="22"/>
          <w:szCs w:val="22"/>
        </w:rPr>
      </w:pPr>
      <w:r>
        <w:rPr>
          <w:rFonts w:ascii="Arial" w:hAnsi="Arial" w:cs="Arial"/>
          <w:color w:val="202122"/>
          <w:sz w:val="22"/>
          <w:szCs w:val="22"/>
          <w:shd w:val="clear" w:color="auto" w:fill="FFFFFF"/>
        </w:rPr>
        <w:t>“</w:t>
      </w:r>
      <w:r w:rsidRPr="007E218F">
        <w:rPr>
          <w:rFonts w:ascii="Arial" w:hAnsi="Arial" w:cs="Arial"/>
          <w:color w:val="202122"/>
          <w:sz w:val="22"/>
          <w:szCs w:val="22"/>
          <w:shd w:val="clear" w:color="auto" w:fill="FFFFFF"/>
        </w:rPr>
        <w:t>Some clauses I have seen would need to be printed in red ink on the face of the document with a red hand pointing to it before the notice could be held to be sufficient.</w:t>
      </w:r>
      <w:r>
        <w:rPr>
          <w:rFonts w:ascii="Arial" w:hAnsi="Arial" w:cs="Arial"/>
          <w:color w:val="202122"/>
          <w:sz w:val="22"/>
          <w:szCs w:val="22"/>
          <w:shd w:val="clear" w:color="auto" w:fill="FFFFFF"/>
        </w:rPr>
        <w:t>”</w:t>
      </w:r>
    </w:p>
    <w:p w14:paraId="7B6D610F" w14:textId="77777777" w:rsidR="00CC7EB4" w:rsidRDefault="00CC7EB4" w:rsidP="00CC7EB4">
      <w:pPr>
        <w:spacing w:after="160" w:line="360" w:lineRule="auto"/>
        <w:jc w:val="both"/>
        <w:rPr>
          <w:rFonts w:ascii="Arial" w:hAnsi="Arial" w:cs="Arial"/>
          <w:color w:val="000000"/>
        </w:rPr>
      </w:pPr>
      <w:r>
        <w:rPr>
          <w:rFonts w:ascii="Arial" w:hAnsi="Arial" w:cs="Arial"/>
          <w:color w:val="000000"/>
        </w:rPr>
        <w:t>Denning was particularly zealous when it came to the enforcement (or refusing to enforce) of standard form contract, and invented the fundamental breach doctrine to address what he saw to be a serious problem.</w:t>
      </w:r>
      <w:r>
        <w:rPr>
          <w:rStyle w:val="FootnoteReference"/>
          <w:rFonts w:ascii="Arial" w:hAnsi="Arial" w:cs="Arial"/>
          <w:color w:val="000000"/>
        </w:rPr>
        <w:footnoteReference w:id="63"/>
      </w:r>
      <w:r>
        <w:rPr>
          <w:rFonts w:ascii="Arial" w:hAnsi="Arial" w:cs="Arial"/>
          <w:color w:val="000000"/>
        </w:rPr>
        <w:t xml:space="preserve"> Fundamental breach was used as a tool of construction which read exemption clauses narrowly and put a “gloss” on its words.</w:t>
      </w:r>
      <w:r>
        <w:rPr>
          <w:rStyle w:val="FootnoteReference"/>
          <w:rFonts w:ascii="Arial" w:hAnsi="Arial" w:cs="Arial"/>
          <w:color w:val="000000"/>
        </w:rPr>
        <w:footnoteReference w:id="64"/>
      </w:r>
      <w:r>
        <w:rPr>
          <w:rFonts w:ascii="Arial" w:hAnsi="Arial" w:cs="Arial"/>
          <w:color w:val="000000"/>
        </w:rPr>
        <w:t xml:space="preserve"> An exemption clause would only assist a party “when he was carrying out the contract in its essential respect.”</w:t>
      </w:r>
      <w:r>
        <w:rPr>
          <w:rStyle w:val="FootnoteReference"/>
          <w:rFonts w:ascii="Arial" w:hAnsi="Arial" w:cs="Arial"/>
          <w:color w:val="000000"/>
        </w:rPr>
        <w:footnoteReference w:id="65"/>
      </w:r>
      <w:r>
        <w:rPr>
          <w:rFonts w:ascii="Arial" w:hAnsi="Arial" w:cs="Arial"/>
          <w:color w:val="000000"/>
        </w:rPr>
        <w:t xml:space="preserve"> Thus, in </w:t>
      </w:r>
      <w:r>
        <w:rPr>
          <w:rFonts w:ascii="Arial" w:hAnsi="Arial" w:cs="Arial"/>
          <w:i/>
          <w:iCs/>
          <w:color w:val="000000"/>
        </w:rPr>
        <w:t xml:space="preserve">Karsales v Wallis, </w:t>
      </w:r>
      <w:r>
        <w:rPr>
          <w:rFonts w:ascii="Arial" w:hAnsi="Arial" w:cs="Arial"/>
          <w:color w:val="000000"/>
        </w:rPr>
        <w:t>a dealership could not rely on its exemption clause with respect to cars because the “car” in question was not a vehicle capable of self-propulsion (the car would not run), meaning that it was no longer a car.</w:t>
      </w:r>
      <w:r>
        <w:rPr>
          <w:rStyle w:val="FootnoteReference"/>
          <w:rFonts w:ascii="Arial" w:hAnsi="Arial" w:cs="Arial"/>
          <w:color w:val="000000"/>
        </w:rPr>
        <w:footnoteReference w:id="66"/>
      </w:r>
      <w:r>
        <w:rPr>
          <w:rFonts w:ascii="Arial" w:hAnsi="Arial" w:cs="Arial"/>
          <w:color w:val="000000"/>
        </w:rPr>
        <w:t xml:space="preserve"> Another, similar, example of judicial flexibility was the use of contra proferentem, whereby ambiguous contractual terms would be read against the interest of the drafter.</w:t>
      </w:r>
      <w:r>
        <w:rPr>
          <w:rStyle w:val="FootnoteReference"/>
          <w:rFonts w:ascii="Arial" w:hAnsi="Arial" w:cs="Arial"/>
          <w:color w:val="000000"/>
        </w:rPr>
        <w:footnoteReference w:id="67"/>
      </w:r>
      <w:r>
        <w:rPr>
          <w:rFonts w:ascii="Arial" w:hAnsi="Arial" w:cs="Arial"/>
          <w:color w:val="000000"/>
        </w:rPr>
        <w:t xml:space="preserve"> </w:t>
      </w:r>
    </w:p>
    <w:p w14:paraId="2E316C52" w14:textId="77777777" w:rsidR="00CC7EB4" w:rsidRDefault="00CC7EB4" w:rsidP="00CC7EB4">
      <w:pPr>
        <w:spacing w:after="160" w:line="360" w:lineRule="auto"/>
        <w:jc w:val="both"/>
        <w:rPr>
          <w:rFonts w:ascii="Arial" w:hAnsi="Arial" w:cs="Arial"/>
          <w:color w:val="000000"/>
        </w:rPr>
      </w:pPr>
      <w:r>
        <w:rPr>
          <w:rFonts w:ascii="Arial" w:hAnsi="Arial" w:cs="Arial"/>
          <w:color w:val="000000"/>
        </w:rPr>
        <w:t>In his final judgment, Lord Denning MR drew attention to the problem of unfair contract terms.</w:t>
      </w:r>
      <w:r>
        <w:rPr>
          <w:rStyle w:val="FootnoteReference"/>
          <w:rFonts w:ascii="Arial" w:hAnsi="Arial" w:cs="Arial"/>
          <w:color w:val="000000"/>
        </w:rPr>
        <w:footnoteReference w:id="68"/>
      </w:r>
      <w:r>
        <w:rPr>
          <w:rFonts w:ascii="Arial" w:hAnsi="Arial" w:cs="Arial"/>
          <w:color w:val="000000"/>
        </w:rPr>
        <w:t xml:space="preserve"> His exposition is worth reading:</w:t>
      </w:r>
    </w:p>
    <w:p w14:paraId="3915409C" w14:textId="77777777" w:rsidR="00CC7EB4" w:rsidRDefault="00CC7EB4" w:rsidP="00CC7EB4">
      <w:pPr>
        <w:spacing w:after="160" w:line="360" w:lineRule="auto"/>
        <w:ind w:left="720"/>
        <w:jc w:val="both"/>
        <w:rPr>
          <w:rFonts w:ascii="Arial" w:hAnsi="Arial" w:cs="Arial"/>
          <w:color w:val="202122"/>
          <w:sz w:val="22"/>
          <w:szCs w:val="22"/>
          <w:shd w:val="clear" w:color="auto" w:fill="FFFFFF"/>
        </w:rPr>
      </w:pPr>
      <w:r>
        <w:rPr>
          <w:rFonts w:ascii="Arial" w:hAnsi="Arial" w:cs="Arial"/>
          <w:color w:val="202122"/>
          <w:sz w:val="22"/>
          <w:szCs w:val="22"/>
          <w:shd w:val="clear" w:color="auto" w:fill="FFFFFF"/>
        </w:rPr>
        <w:t>“</w:t>
      </w:r>
      <w:r w:rsidRPr="007E218F">
        <w:rPr>
          <w:rFonts w:ascii="Arial" w:hAnsi="Arial" w:cs="Arial"/>
          <w:color w:val="202122"/>
          <w:sz w:val="22"/>
          <w:szCs w:val="22"/>
          <w:shd w:val="clear" w:color="auto" w:fill="FFFFFF"/>
        </w:rPr>
        <w:t xml:space="preserve">None of you nowadays will remember the trouble we had – when I was called to the Bar – with exemption clauses. They were printed in small print on the back of tickets and order forms and invoices. They were contained in catalogues or timetables. They were held to be binding on any person who took them without objection. No one ever did object. He never read them or knew what was in them. No matter how unreasonable they were, he was bound. All this was done in the name of "freedom of </w:t>
      </w:r>
      <w:r w:rsidRPr="007E218F">
        <w:rPr>
          <w:rFonts w:ascii="Arial" w:hAnsi="Arial" w:cs="Arial"/>
          <w:color w:val="202122"/>
          <w:sz w:val="22"/>
          <w:szCs w:val="22"/>
          <w:shd w:val="clear" w:color="auto" w:fill="FFFFFF"/>
        </w:rPr>
        <w:lastRenderedPageBreak/>
        <w:t>contract." But the freedom was all on the side of the big concern which had the use of the printing press. No freedom for the little man who took the ticket or order form or invoice. The big concern said, "Take it or leave it." The little man had no option but to take it. The big concern could and did exempt itself from liability in its own interest without regard to the little man. It got away with it time after time. When the courts said to the big concern, "You must put it in clear words," the big concern had no hesitation in doing so. It knew well that the little man would never read the exemption clauses or understand them.</w:t>
      </w:r>
      <w:r>
        <w:rPr>
          <w:rFonts w:ascii="Arial" w:hAnsi="Arial" w:cs="Arial"/>
          <w:color w:val="202122"/>
          <w:sz w:val="22"/>
          <w:szCs w:val="22"/>
          <w:shd w:val="clear" w:color="auto" w:fill="FFFFFF"/>
        </w:rPr>
        <w:t>”</w:t>
      </w:r>
      <w:r>
        <w:rPr>
          <w:rStyle w:val="FootnoteReference"/>
          <w:rFonts w:ascii="Arial" w:hAnsi="Arial" w:cs="Arial"/>
          <w:color w:val="202122"/>
          <w:sz w:val="22"/>
          <w:szCs w:val="22"/>
          <w:shd w:val="clear" w:color="auto" w:fill="FFFFFF"/>
        </w:rPr>
        <w:footnoteReference w:id="69"/>
      </w:r>
    </w:p>
    <w:p w14:paraId="7F5C6AB3" w14:textId="77777777" w:rsidR="00CC7EB4" w:rsidRPr="00DA7395" w:rsidRDefault="00CC7EB4" w:rsidP="00CC7EB4">
      <w:pPr>
        <w:spacing w:after="160" w:line="360" w:lineRule="auto"/>
        <w:jc w:val="both"/>
        <w:rPr>
          <w:rFonts w:ascii="Arial" w:hAnsi="Arial" w:cs="Arial"/>
          <w:color w:val="202122"/>
          <w:shd w:val="clear" w:color="auto" w:fill="FFFFFF"/>
        </w:rPr>
      </w:pPr>
      <w:r>
        <w:rPr>
          <w:rFonts w:ascii="Arial" w:hAnsi="Arial" w:cs="Arial"/>
          <w:color w:val="202122"/>
          <w:shd w:val="clear" w:color="auto" w:fill="FFFFFF"/>
        </w:rPr>
        <w:t>Calling this era the “bleak winter of contract,” Denning believed that the recently enacted Unfair Contract Terms Act 1977 was a welcome thaw bringing the law to a spring.</w:t>
      </w:r>
      <w:r>
        <w:rPr>
          <w:rStyle w:val="FootnoteReference"/>
          <w:rFonts w:ascii="Arial" w:hAnsi="Arial" w:cs="Arial"/>
          <w:color w:val="202122"/>
          <w:shd w:val="clear" w:color="auto" w:fill="FFFFFF"/>
        </w:rPr>
        <w:footnoteReference w:id="70"/>
      </w:r>
      <w:r>
        <w:rPr>
          <w:rFonts w:ascii="Arial" w:hAnsi="Arial" w:cs="Arial"/>
          <w:color w:val="202122"/>
          <w:shd w:val="clear" w:color="auto" w:fill="FFFFFF"/>
        </w:rPr>
        <w:t xml:space="preserve"> Judicial creativity and a strained interpretation of contractual terms was no longer needed to do justice.</w:t>
      </w:r>
      <w:r>
        <w:rPr>
          <w:rStyle w:val="FootnoteReference"/>
          <w:rFonts w:ascii="Arial" w:hAnsi="Arial" w:cs="Arial"/>
          <w:color w:val="202122"/>
          <w:shd w:val="clear" w:color="auto" w:fill="FFFFFF"/>
        </w:rPr>
        <w:footnoteReference w:id="71"/>
      </w:r>
      <w:r>
        <w:rPr>
          <w:rFonts w:ascii="Arial" w:hAnsi="Arial" w:cs="Arial"/>
          <w:color w:val="202122"/>
          <w:shd w:val="clear" w:color="auto" w:fill="FFFFFF"/>
        </w:rPr>
        <w:t xml:space="preserve"> No longer could the big concern impose whatever terms and conditions they pleased.</w:t>
      </w:r>
      <w:r>
        <w:rPr>
          <w:rStyle w:val="FootnoteReference"/>
          <w:rFonts w:ascii="Arial" w:hAnsi="Arial" w:cs="Arial"/>
          <w:color w:val="202122"/>
          <w:shd w:val="clear" w:color="auto" w:fill="FFFFFF"/>
        </w:rPr>
        <w:footnoteReference w:id="72"/>
      </w:r>
      <w:r>
        <w:rPr>
          <w:rFonts w:ascii="Arial" w:hAnsi="Arial" w:cs="Arial"/>
          <w:color w:val="202122"/>
          <w:shd w:val="clear" w:color="auto" w:fill="FFFFFF"/>
        </w:rPr>
        <w:t xml:space="preserve"> Exemption clauses were now constrained by the criterion of reasonableness.</w:t>
      </w:r>
      <w:r>
        <w:rPr>
          <w:rStyle w:val="FootnoteReference"/>
          <w:rFonts w:ascii="Arial" w:hAnsi="Arial" w:cs="Arial"/>
          <w:color w:val="202122"/>
          <w:shd w:val="clear" w:color="auto" w:fill="FFFFFF"/>
        </w:rPr>
        <w:footnoteReference w:id="73"/>
      </w:r>
      <w:r>
        <w:rPr>
          <w:rFonts w:ascii="Arial" w:hAnsi="Arial" w:cs="Arial"/>
          <w:color w:val="202122"/>
          <w:shd w:val="clear" w:color="auto" w:fill="FFFFFF"/>
        </w:rPr>
        <w:t xml:space="preserve"> New Zealand has recently followed a similar path by implementing the unfair contract terms regime under the Fair Trading Act.</w:t>
      </w:r>
      <w:r>
        <w:rPr>
          <w:rStyle w:val="FootnoteReference"/>
          <w:rFonts w:ascii="Arial" w:hAnsi="Arial" w:cs="Arial"/>
          <w:color w:val="202122"/>
          <w:shd w:val="clear" w:color="auto" w:fill="FFFFFF"/>
        </w:rPr>
        <w:footnoteReference w:id="74"/>
      </w:r>
      <w:r>
        <w:rPr>
          <w:rFonts w:ascii="Arial" w:hAnsi="Arial" w:cs="Arial"/>
          <w:color w:val="202122"/>
          <w:shd w:val="clear" w:color="auto" w:fill="FFFFFF"/>
        </w:rPr>
        <w:t xml:space="preserve"> But while Denning foresaw the advent of an equitable, summery contract law, some of his words in the above quote remain true today. The little man still does not read standard form contracts or understand them.</w:t>
      </w:r>
      <w:r>
        <w:rPr>
          <w:rStyle w:val="FootnoteReference"/>
          <w:rFonts w:ascii="Arial" w:hAnsi="Arial" w:cs="Arial"/>
          <w:color w:val="202122"/>
          <w:shd w:val="clear" w:color="auto" w:fill="FFFFFF"/>
        </w:rPr>
        <w:footnoteReference w:id="75"/>
      </w:r>
      <w:r>
        <w:rPr>
          <w:rFonts w:ascii="Arial" w:hAnsi="Arial" w:cs="Arial"/>
          <w:color w:val="202122"/>
          <w:shd w:val="clear" w:color="auto" w:fill="FFFFFF"/>
        </w:rPr>
        <w:t xml:space="preserve"> And, while New Zealand has a regime which prohibits unfair contract terms, it is relatively impotent as a tool of enforcement. Only the Commerce Commission can seek the declaration of an unfair contract term.</w:t>
      </w:r>
      <w:r>
        <w:rPr>
          <w:rStyle w:val="FootnoteReference"/>
          <w:rFonts w:ascii="Arial" w:hAnsi="Arial" w:cs="Arial"/>
          <w:color w:val="202122"/>
          <w:shd w:val="clear" w:color="auto" w:fill="FFFFFF"/>
        </w:rPr>
        <w:footnoteReference w:id="76"/>
      </w:r>
      <w:r>
        <w:rPr>
          <w:rFonts w:ascii="Arial" w:hAnsi="Arial" w:cs="Arial"/>
          <w:color w:val="202122"/>
          <w:shd w:val="clear" w:color="auto" w:fill="FFFFFF"/>
        </w:rPr>
        <w:t xml:space="preserve"> As of today, a mere three declarations have been sought. Below I consider the unfair contract terms regime and its cousin, unconscionability. Are these regimes really sufficient to protect the consumer against the weight of standard form contract?</w:t>
      </w:r>
    </w:p>
    <w:p w14:paraId="1776408D" w14:textId="77777777" w:rsidR="00CC7EB4" w:rsidRDefault="00CC7EB4" w:rsidP="00CC7EB4">
      <w:pPr>
        <w:spacing w:after="160" w:line="360" w:lineRule="auto"/>
        <w:jc w:val="center"/>
        <w:rPr>
          <w:rFonts w:ascii="Arial" w:hAnsi="Arial" w:cs="Arial"/>
          <w:b/>
          <w:bCs/>
          <w:color w:val="202122"/>
          <w:sz w:val="28"/>
          <w:szCs w:val="28"/>
          <w:shd w:val="clear" w:color="auto" w:fill="FFFFFF"/>
        </w:rPr>
      </w:pPr>
    </w:p>
    <w:p w14:paraId="2E972DE0" w14:textId="77777777" w:rsidR="00CC7EB4" w:rsidRDefault="00CC7EB4" w:rsidP="00CC7EB4">
      <w:pPr>
        <w:spacing w:after="160" w:line="360" w:lineRule="auto"/>
        <w:jc w:val="center"/>
        <w:rPr>
          <w:rFonts w:ascii="Arial" w:hAnsi="Arial" w:cs="Arial"/>
          <w:b/>
          <w:bCs/>
          <w:color w:val="202122"/>
          <w:sz w:val="28"/>
          <w:szCs w:val="28"/>
          <w:shd w:val="clear" w:color="auto" w:fill="FFFFFF"/>
        </w:rPr>
      </w:pPr>
    </w:p>
    <w:p w14:paraId="78C7BD3E" w14:textId="77777777" w:rsidR="00CC7EB4" w:rsidRDefault="00CC7EB4" w:rsidP="00CC7EB4">
      <w:pPr>
        <w:spacing w:after="160" w:line="360" w:lineRule="auto"/>
        <w:jc w:val="center"/>
        <w:rPr>
          <w:rFonts w:ascii="Arial" w:hAnsi="Arial" w:cs="Arial"/>
          <w:b/>
          <w:bCs/>
          <w:color w:val="202122"/>
          <w:sz w:val="28"/>
          <w:szCs w:val="28"/>
          <w:shd w:val="clear" w:color="auto" w:fill="FFFFFF"/>
        </w:rPr>
      </w:pPr>
      <w:r>
        <w:rPr>
          <w:rFonts w:ascii="Arial" w:hAnsi="Arial" w:cs="Arial"/>
          <w:b/>
          <w:bCs/>
          <w:color w:val="202122"/>
          <w:sz w:val="28"/>
          <w:szCs w:val="28"/>
          <w:shd w:val="clear" w:color="auto" w:fill="FFFFFF"/>
        </w:rPr>
        <w:lastRenderedPageBreak/>
        <w:t>CHAPTER TWO: HOW HAS THE LAW RECKONED WITH STANDARD FORM CONTRACTS?</w:t>
      </w:r>
    </w:p>
    <w:p w14:paraId="21B3EFAF" w14:textId="77777777" w:rsidR="00CC7EB4" w:rsidRDefault="00CC7EB4" w:rsidP="00CC7EB4">
      <w:pPr>
        <w:spacing w:after="160" w:line="360" w:lineRule="auto"/>
        <w:jc w:val="both"/>
        <w:rPr>
          <w:rFonts w:ascii="Arial" w:hAnsi="Arial" w:cs="Arial"/>
          <w:color w:val="202122"/>
          <w:shd w:val="clear" w:color="auto" w:fill="FFFFFF"/>
        </w:rPr>
      </w:pPr>
      <w:r>
        <w:rPr>
          <w:rFonts w:ascii="Arial" w:hAnsi="Arial" w:cs="Arial"/>
          <w:color w:val="202122"/>
          <w:shd w:val="clear" w:color="auto" w:fill="FFFFFF"/>
        </w:rPr>
        <w:t>Standard form contracts, as is well established by this point, are often unfair. Their lack of negotiation and the fact that very few consumers read them means that consumers, all too often, get the bad end of the stick. Legislatures and the courts, aware of this fact, have developed a number of laws to protect the consumer against the weight of standard form contract. However, this Chapter contends that these doctrines are inadequate. They haphazardly creep around the issue of consent, only intervening in egregious circumstances and sometimes providing little if any protection. As a result, the systemic yet moderate manipulation of consent is unlikely to be caught by the current legislative regime.</w:t>
      </w:r>
    </w:p>
    <w:p w14:paraId="0EFEBF4E" w14:textId="77777777" w:rsidR="00CC7EB4" w:rsidRDefault="00CC7EB4" w:rsidP="00CC7EB4">
      <w:pPr>
        <w:spacing w:after="160" w:line="360" w:lineRule="auto"/>
        <w:jc w:val="both"/>
        <w:rPr>
          <w:rFonts w:ascii="Arial" w:hAnsi="Arial" w:cs="Arial"/>
          <w:i/>
          <w:iCs/>
          <w:color w:val="202122"/>
          <w:sz w:val="28"/>
          <w:szCs w:val="28"/>
          <w:shd w:val="clear" w:color="auto" w:fill="FFFFFF"/>
        </w:rPr>
      </w:pPr>
      <w:r>
        <w:rPr>
          <w:rFonts w:ascii="Arial" w:hAnsi="Arial" w:cs="Arial"/>
          <w:i/>
          <w:iCs/>
          <w:color w:val="202122"/>
          <w:sz w:val="28"/>
          <w:szCs w:val="28"/>
          <w:shd w:val="clear" w:color="auto" w:fill="FFFFFF"/>
        </w:rPr>
        <w:t xml:space="preserve">I        </w:t>
      </w:r>
      <w:r w:rsidRPr="0054552D">
        <w:rPr>
          <w:rFonts w:ascii="Arial" w:hAnsi="Arial" w:cs="Arial"/>
          <w:i/>
          <w:iCs/>
          <w:color w:val="202122"/>
          <w:sz w:val="28"/>
          <w:szCs w:val="28"/>
          <w:shd w:val="clear" w:color="auto" w:fill="FFFFFF"/>
        </w:rPr>
        <w:t>Unconscionability</w:t>
      </w:r>
    </w:p>
    <w:p w14:paraId="5DFDC5B0" w14:textId="77777777" w:rsidR="00CC7EB4" w:rsidRPr="00DF68C8" w:rsidRDefault="00CC7EB4" w:rsidP="00CC7EB4">
      <w:pPr>
        <w:spacing w:after="160" w:line="360" w:lineRule="auto"/>
        <w:jc w:val="both"/>
        <w:rPr>
          <w:rFonts w:ascii="Arial" w:hAnsi="Arial" w:cs="Arial"/>
          <w:color w:val="202122"/>
          <w:shd w:val="clear" w:color="auto" w:fill="FFFFFF"/>
        </w:rPr>
      </w:pPr>
      <w:r>
        <w:rPr>
          <w:rFonts w:ascii="Arial" w:hAnsi="Arial" w:cs="Arial"/>
          <w:color w:val="202122"/>
          <w:shd w:val="clear" w:color="auto" w:fill="FFFFFF"/>
        </w:rPr>
        <w:t>Unconscionability, or unconscionable dealing, is a long-standing equitable doctrine which can set aside a contract on the basis of procedural or substantive unfairness.</w:t>
      </w:r>
      <w:r>
        <w:rPr>
          <w:rStyle w:val="FootnoteReference"/>
          <w:rFonts w:ascii="Arial" w:hAnsi="Arial" w:cs="Arial"/>
          <w:color w:val="202122"/>
          <w:shd w:val="clear" w:color="auto" w:fill="FFFFFF"/>
        </w:rPr>
        <w:footnoteReference w:id="77"/>
      </w:r>
      <w:r>
        <w:rPr>
          <w:rFonts w:ascii="Arial" w:hAnsi="Arial" w:cs="Arial"/>
          <w:color w:val="202122"/>
          <w:shd w:val="clear" w:color="auto" w:fill="FFFFFF"/>
        </w:rPr>
        <w:t xml:space="preserve"> The historical application of unconscionability was such that one author labelled it the “law of the poor.”</w:t>
      </w:r>
      <w:r>
        <w:rPr>
          <w:rStyle w:val="FootnoteReference"/>
          <w:rFonts w:ascii="Arial" w:hAnsi="Arial" w:cs="Arial"/>
          <w:color w:val="202122"/>
          <w:shd w:val="clear" w:color="auto" w:fill="FFFFFF"/>
        </w:rPr>
        <w:footnoteReference w:id="78"/>
      </w:r>
      <w:r>
        <w:rPr>
          <w:rFonts w:ascii="Arial" w:hAnsi="Arial" w:cs="Arial"/>
          <w:color w:val="202122"/>
          <w:shd w:val="clear" w:color="auto" w:fill="FFFFFF"/>
        </w:rPr>
        <w:t xml:space="preserve"> This epithet comes from the fact that unconscionability was a doctrine most commonly applied to poor and ignorant persons with undervalued contracts and lack of legal advice.</w:t>
      </w:r>
      <w:r>
        <w:rPr>
          <w:rStyle w:val="FootnoteReference"/>
          <w:rFonts w:ascii="Arial" w:hAnsi="Arial" w:cs="Arial"/>
          <w:color w:val="202122"/>
          <w:shd w:val="clear" w:color="auto" w:fill="FFFFFF"/>
        </w:rPr>
        <w:footnoteReference w:id="79"/>
      </w:r>
      <w:r>
        <w:rPr>
          <w:rFonts w:ascii="Arial" w:hAnsi="Arial" w:cs="Arial"/>
          <w:color w:val="202122"/>
          <w:shd w:val="clear" w:color="auto" w:fill="FFFFFF"/>
        </w:rPr>
        <w:t xml:space="preserve"> Why is it a law so commonly coming to the aid of poor? Unconscionability is often defined as an absence of meaningful choice on the part of one of the parties together with contract terms which are unreasonably favourable to the other party.</w:t>
      </w:r>
      <w:r>
        <w:rPr>
          <w:rStyle w:val="FootnoteReference"/>
          <w:rFonts w:ascii="Arial" w:hAnsi="Arial" w:cs="Arial"/>
          <w:color w:val="202122"/>
          <w:shd w:val="clear" w:color="auto" w:fill="FFFFFF"/>
        </w:rPr>
        <w:footnoteReference w:id="80"/>
      </w:r>
      <w:r>
        <w:rPr>
          <w:rFonts w:ascii="Arial" w:hAnsi="Arial" w:cs="Arial"/>
          <w:color w:val="202122"/>
          <w:shd w:val="clear" w:color="auto" w:fill="FFFFFF"/>
        </w:rPr>
        <w:t xml:space="preserve"> The circumstances of poverty alongside the inevitable inequality of bargaining power between the impoverished and the prosperous means that the poor are generally the party in the passenger seat, while it is the rich who drive the vehicle. A common example is that of the consumer who takes out an extortionate payday loan in order to pay for urgent expenses. Their desperation is such that the consequences of the loan are secondary: they will take the loan regardless of the flawed process of contract formation or the onerousness of its terms.</w:t>
      </w:r>
    </w:p>
    <w:p w14:paraId="6B95CD2C" w14:textId="77777777" w:rsidR="00CC7EB4" w:rsidRPr="00523C1D" w:rsidRDefault="00CC7EB4" w:rsidP="00CC7EB4">
      <w:pPr>
        <w:spacing w:after="160" w:line="360" w:lineRule="auto"/>
        <w:jc w:val="both"/>
        <w:rPr>
          <w:rFonts w:ascii="Arial" w:hAnsi="Arial" w:cs="Arial"/>
          <w:color w:val="202122"/>
          <w:shd w:val="clear" w:color="auto" w:fill="FFFFFF"/>
        </w:rPr>
      </w:pPr>
      <w:r>
        <w:rPr>
          <w:rFonts w:ascii="Arial" w:hAnsi="Arial" w:cs="Arial"/>
          <w:color w:val="202122"/>
          <w:shd w:val="clear" w:color="auto" w:fill="FFFFFF"/>
        </w:rPr>
        <w:lastRenderedPageBreak/>
        <w:t xml:space="preserve">In determining whether there has been unconscionable conduct, the New Zealand courts have generally looked at the </w:t>
      </w:r>
      <w:r>
        <w:rPr>
          <w:rFonts w:ascii="Arial" w:hAnsi="Arial" w:cs="Arial"/>
          <w:i/>
          <w:iCs/>
          <w:color w:val="202122"/>
          <w:shd w:val="clear" w:color="auto" w:fill="FFFFFF"/>
        </w:rPr>
        <w:t xml:space="preserve">Bowkett </w:t>
      </w:r>
      <w:r>
        <w:rPr>
          <w:rFonts w:ascii="Arial" w:hAnsi="Arial" w:cs="Arial"/>
          <w:color w:val="202122"/>
          <w:shd w:val="clear" w:color="auto" w:fill="FFFFFF"/>
        </w:rPr>
        <w:t>factors.</w:t>
      </w:r>
      <w:r>
        <w:rPr>
          <w:rStyle w:val="FootnoteReference"/>
          <w:rFonts w:ascii="Arial" w:hAnsi="Arial" w:cs="Arial"/>
          <w:color w:val="202122"/>
          <w:shd w:val="clear" w:color="auto" w:fill="FFFFFF"/>
        </w:rPr>
        <w:footnoteReference w:id="81"/>
      </w:r>
      <w:r>
        <w:rPr>
          <w:rFonts w:ascii="Arial" w:hAnsi="Arial" w:cs="Arial"/>
          <w:color w:val="202122"/>
          <w:shd w:val="clear" w:color="auto" w:fill="FFFFFF"/>
        </w:rPr>
        <w:t xml:space="preserve"> Unconscionability will generally arise where the stronger party victimises the weaker party, who is under a significant disability (and the stronger party is aware of this).</w:t>
      </w:r>
      <w:r>
        <w:rPr>
          <w:rStyle w:val="FootnoteReference"/>
          <w:rFonts w:ascii="Arial" w:hAnsi="Arial" w:cs="Arial"/>
          <w:color w:val="202122"/>
          <w:shd w:val="clear" w:color="auto" w:fill="FFFFFF"/>
        </w:rPr>
        <w:footnoteReference w:id="82"/>
      </w:r>
      <w:r>
        <w:rPr>
          <w:rFonts w:ascii="Arial" w:hAnsi="Arial" w:cs="Arial"/>
          <w:color w:val="202122"/>
          <w:shd w:val="clear" w:color="auto" w:fill="FFFFFF"/>
        </w:rPr>
        <w:t xml:space="preserve"> Unconscionability can inquire into both the procedural and substantive aspects of the contract.</w:t>
      </w:r>
      <w:r>
        <w:rPr>
          <w:rStyle w:val="FootnoteReference"/>
          <w:rFonts w:ascii="Arial" w:hAnsi="Arial" w:cs="Arial"/>
          <w:color w:val="202122"/>
          <w:shd w:val="clear" w:color="auto" w:fill="FFFFFF"/>
        </w:rPr>
        <w:footnoteReference w:id="83"/>
      </w:r>
      <w:r>
        <w:rPr>
          <w:rFonts w:ascii="Arial" w:hAnsi="Arial" w:cs="Arial"/>
          <w:color w:val="202122"/>
          <w:shd w:val="clear" w:color="auto" w:fill="FFFFFF"/>
        </w:rPr>
        <w:t xml:space="preserve"> If there are defects in contract formation and bargaining, then the procedural shortcomings of the contract may render it unconscionable.</w:t>
      </w:r>
      <w:r>
        <w:rPr>
          <w:rStyle w:val="FootnoteReference"/>
          <w:rFonts w:ascii="Arial" w:hAnsi="Arial" w:cs="Arial"/>
          <w:color w:val="202122"/>
          <w:shd w:val="clear" w:color="auto" w:fill="FFFFFF"/>
        </w:rPr>
        <w:footnoteReference w:id="84"/>
      </w:r>
      <w:r>
        <w:rPr>
          <w:rFonts w:ascii="Arial" w:hAnsi="Arial" w:cs="Arial"/>
          <w:color w:val="202122"/>
          <w:shd w:val="clear" w:color="auto" w:fill="FFFFFF"/>
        </w:rPr>
        <w:t xml:space="preserve"> More controversial is the latter, substantive unconscionability. Substantive unconscionability may be used to “open up” contracts and determine whether one of the parties came by a windfall or whether the other party suffers under the contract.</w:t>
      </w:r>
      <w:r>
        <w:rPr>
          <w:rStyle w:val="FootnoteReference"/>
          <w:rFonts w:ascii="Arial" w:hAnsi="Arial" w:cs="Arial"/>
          <w:color w:val="202122"/>
          <w:shd w:val="clear" w:color="auto" w:fill="FFFFFF"/>
        </w:rPr>
        <w:footnoteReference w:id="85"/>
      </w:r>
      <w:r>
        <w:rPr>
          <w:rFonts w:ascii="Arial" w:hAnsi="Arial" w:cs="Arial"/>
          <w:color w:val="202122"/>
          <w:shd w:val="clear" w:color="auto" w:fill="FFFFFF"/>
        </w:rPr>
        <w:t xml:space="preserve"> </w:t>
      </w:r>
    </w:p>
    <w:p w14:paraId="6CED01D3" w14:textId="77777777" w:rsidR="00CC7EB4" w:rsidRDefault="00CC7EB4" w:rsidP="00CC7EB4">
      <w:pPr>
        <w:spacing w:after="160" w:line="360" w:lineRule="auto"/>
        <w:jc w:val="both"/>
        <w:rPr>
          <w:rFonts w:ascii="Arial" w:hAnsi="Arial" w:cs="Arial"/>
          <w:color w:val="202122"/>
          <w:shd w:val="clear" w:color="auto" w:fill="FFFFFF"/>
        </w:rPr>
      </w:pPr>
      <w:r>
        <w:rPr>
          <w:rFonts w:ascii="Arial" w:hAnsi="Arial" w:cs="Arial"/>
          <w:color w:val="202122"/>
          <w:shd w:val="clear" w:color="auto" w:fill="FFFFFF"/>
        </w:rPr>
        <w:t>In 2022, New Zealand introduced a legislative prohibition on unconscionable conduct under the Fair Trading Act.</w:t>
      </w:r>
      <w:r>
        <w:rPr>
          <w:rStyle w:val="FootnoteReference"/>
          <w:rFonts w:ascii="Arial" w:hAnsi="Arial" w:cs="Arial"/>
          <w:color w:val="202122"/>
          <w:shd w:val="clear" w:color="auto" w:fill="FFFFFF"/>
        </w:rPr>
        <w:footnoteReference w:id="86"/>
      </w:r>
      <w:r>
        <w:rPr>
          <w:rFonts w:ascii="Arial" w:hAnsi="Arial" w:cs="Arial"/>
          <w:color w:val="202122"/>
          <w:shd w:val="clear" w:color="auto" w:fill="FFFFFF"/>
        </w:rPr>
        <w:t xml:space="preserve"> It is not limited by any rule of law or equity relating to unconscionable conduct.</w:t>
      </w:r>
      <w:r>
        <w:rPr>
          <w:rStyle w:val="FootnoteReference"/>
          <w:rFonts w:ascii="Arial" w:hAnsi="Arial" w:cs="Arial"/>
          <w:color w:val="202122"/>
          <w:shd w:val="clear" w:color="auto" w:fill="FFFFFF"/>
        </w:rPr>
        <w:footnoteReference w:id="87"/>
      </w:r>
      <w:r>
        <w:rPr>
          <w:rFonts w:ascii="Arial" w:hAnsi="Arial" w:cs="Arial"/>
          <w:color w:val="202122"/>
          <w:shd w:val="clear" w:color="auto" w:fill="FFFFFF"/>
        </w:rPr>
        <w:t xml:space="preserve"> Indeed, Hansard reports indicate that is intended to be broader than the equitable doctrine of unconscionability as defined by the common law.</w:t>
      </w:r>
      <w:r>
        <w:rPr>
          <w:rStyle w:val="FootnoteReference"/>
          <w:rFonts w:ascii="Arial" w:hAnsi="Arial" w:cs="Arial"/>
          <w:color w:val="202122"/>
          <w:shd w:val="clear" w:color="auto" w:fill="FFFFFF"/>
        </w:rPr>
        <w:footnoteReference w:id="88"/>
      </w:r>
      <w:r>
        <w:rPr>
          <w:rFonts w:ascii="Arial" w:hAnsi="Arial" w:cs="Arial"/>
          <w:color w:val="202122"/>
          <w:shd w:val="clear" w:color="auto" w:fill="FFFFFF"/>
        </w:rPr>
        <w:t xml:space="preserve"> However, the equitable doctrine of unconscionable conduct remains and may also lend itself to the interpretation of unconscionability under the Act. Section 8(2) provides that where the conduct involves a contract, the court may have regard to a number of factors.</w:t>
      </w:r>
      <w:r>
        <w:rPr>
          <w:rStyle w:val="FootnoteReference"/>
          <w:rFonts w:ascii="Arial" w:hAnsi="Arial" w:cs="Arial"/>
          <w:color w:val="202122"/>
          <w:shd w:val="clear" w:color="auto" w:fill="FFFFFF"/>
        </w:rPr>
        <w:footnoteReference w:id="89"/>
      </w:r>
      <w:r>
        <w:rPr>
          <w:rFonts w:ascii="Arial" w:hAnsi="Arial" w:cs="Arial"/>
          <w:color w:val="202122"/>
          <w:shd w:val="clear" w:color="auto" w:fill="FFFFFF"/>
        </w:rPr>
        <w:t xml:space="preserve"> These factors include the circumstances in which the contract was entered into,</w:t>
      </w:r>
      <w:r>
        <w:rPr>
          <w:rStyle w:val="FootnoteReference"/>
          <w:rFonts w:ascii="Arial" w:hAnsi="Arial" w:cs="Arial"/>
          <w:color w:val="202122"/>
          <w:shd w:val="clear" w:color="auto" w:fill="FFFFFF"/>
        </w:rPr>
        <w:footnoteReference w:id="90"/>
      </w:r>
      <w:r>
        <w:rPr>
          <w:rFonts w:ascii="Arial" w:hAnsi="Arial" w:cs="Arial"/>
          <w:color w:val="202122"/>
          <w:shd w:val="clear" w:color="auto" w:fill="FFFFFF"/>
        </w:rPr>
        <w:t xml:space="preserve"> the terms of the contract,</w:t>
      </w:r>
      <w:r>
        <w:rPr>
          <w:rStyle w:val="FootnoteReference"/>
          <w:rFonts w:ascii="Arial" w:hAnsi="Arial" w:cs="Arial"/>
          <w:color w:val="202122"/>
          <w:shd w:val="clear" w:color="auto" w:fill="FFFFFF"/>
        </w:rPr>
        <w:footnoteReference w:id="91"/>
      </w:r>
      <w:r>
        <w:rPr>
          <w:rFonts w:ascii="Arial" w:hAnsi="Arial" w:cs="Arial"/>
          <w:color w:val="202122"/>
          <w:shd w:val="clear" w:color="auto" w:fill="FFFFFF"/>
        </w:rPr>
        <w:t xml:space="preserve"> and the form of the contract.</w:t>
      </w:r>
      <w:r>
        <w:rPr>
          <w:rStyle w:val="FootnoteReference"/>
          <w:rFonts w:ascii="Arial" w:hAnsi="Arial" w:cs="Arial"/>
          <w:color w:val="202122"/>
          <w:shd w:val="clear" w:color="auto" w:fill="FFFFFF"/>
        </w:rPr>
        <w:footnoteReference w:id="92"/>
      </w:r>
      <w:r>
        <w:rPr>
          <w:rFonts w:ascii="Arial" w:hAnsi="Arial" w:cs="Arial"/>
          <w:color w:val="202122"/>
          <w:shd w:val="clear" w:color="auto" w:fill="FFFFFF"/>
        </w:rPr>
        <w:t xml:space="preserve"> </w:t>
      </w:r>
    </w:p>
    <w:p w14:paraId="5B6BEA9F" w14:textId="77777777" w:rsidR="00CC7EB4" w:rsidRPr="002022BC" w:rsidRDefault="00CC7EB4" w:rsidP="00CC7EB4">
      <w:pPr>
        <w:spacing w:after="160" w:line="360" w:lineRule="auto"/>
        <w:jc w:val="both"/>
        <w:rPr>
          <w:rFonts w:ascii="Arial" w:hAnsi="Arial" w:cs="Arial"/>
          <w:color w:val="202122"/>
          <w:shd w:val="clear" w:color="auto" w:fill="FFFFFF"/>
        </w:rPr>
      </w:pPr>
      <w:r>
        <w:rPr>
          <w:rFonts w:ascii="Arial" w:hAnsi="Arial" w:cs="Arial"/>
          <w:color w:val="202122"/>
          <w:shd w:val="clear" w:color="auto" w:fill="FFFFFF"/>
        </w:rPr>
        <w:t>The proposed law was contentious from the outset, with opposition parties taking issue with what they conceived as the ambiguous nature of the law. For example, the Hon Stuart Smith framed his problem with unconscionable conduct in this way: “I think that with the definition of unconscionable conduct being so unconscionable that no one actually knows what it is… it turns out to be so difficult to describe that we can’t even get it into law.”</w:t>
      </w:r>
      <w:r>
        <w:rPr>
          <w:rStyle w:val="FootnoteReference"/>
          <w:rFonts w:ascii="Arial" w:hAnsi="Arial" w:cs="Arial"/>
          <w:color w:val="202122"/>
          <w:shd w:val="clear" w:color="auto" w:fill="FFFFFF"/>
        </w:rPr>
        <w:footnoteReference w:id="93"/>
      </w:r>
      <w:r>
        <w:rPr>
          <w:rFonts w:ascii="Arial" w:hAnsi="Arial" w:cs="Arial"/>
          <w:color w:val="202122"/>
          <w:shd w:val="clear" w:color="auto" w:fill="FFFFFF"/>
        </w:rPr>
        <w:t xml:space="preserve"> Issues were also predictably taken with the interventionist nature of </w:t>
      </w:r>
      <w:r>
        <w:rPr>
          <w:rFonts w:ascii="Arial" w:hAnsi="Arial" w:cs="Arial"/>
          <w:color w:val="202122"/>
          <w:shd w:val="clear" w:color="auto" w:fill="FFFFFF"/>
        </w:rPr>
        <w:lastRenderedPageBreak/>
        <w:t>the law and its tension with freedom of contract. Speaking for the libertarian ACT Party, Hon Damien Smith argued that the proposed law would “affect free enterprise and free trade” and “actually opposes individual freedom of businesses and consumers to work together.”</w:t>
      </w:r>
      <w:r>
        <w:rPr>
          <w:rStyle w:val="FootnoteReference"/>
          <w:rFonts w:ascii="Arial" w:hAnsi="Arial" w:cs="Arial"/>
          <w:color w:val="202122"/>
          <w:shd w:val="clear" w:color="auto" w:fill="FFFFFF"/>
        </w:rPr>
        <w:footnoteReference w:id="94"/>
      </w:r>
    </w:p>
    <w:p w14:paraId="5614B00D" w14:textId="77777777" w:rsidR="00CC7EB4" w:rsidRDefault="00CC7EB4" w:rsidP="00CC7EB4">
      <w:pPr>
        <w:spacing w:after="160" w:line="360" w:lineRule="auto"/>
        <w:jc w:val="both"/>
        <w:rPr>
          <w:rFonts w:ascii="Arial" w:hAnsi="Arial" w:cs="Arial"/>
          <w:color w:val="202122"/>
          <w:shd w:val="clear" w:color="auto" w:fill="FFFFFF"/>
        </w:rPr>
      </w:pPr>
      <w:r>
        <w:rPr>
          <w:rFonts w:ascii="Arial" w:hAnsi="Arial" w:cs="Arial"/>
          <w:color w:val="202122"/>
          <w:shd w:val="clear" w:color="auto" w:fill="FFFFFF"/>
        </w:rPr>
        <w:t xml:space="preserve">The recent Canadian Supreme Court case of </w:t>
      </w:r>
      <w:r>
        <w:rPr>
          <w:rFonts w:ascii="Arial" w:hAnsi="Arial" w:cs="Arial"/>
          <w:i/>
          <w:iCs/>
          <w:color w:val="202122"/>
          <w:shd w:val="clear" w:color="auto" w:fill="FFFFFF"/>
        </w:rPr>
        <w:t xml:space="preserve">Uber Technologies Inc v Heller </w:t>
      </w:r>
      <w:r>
        <w:rPr>
          <w:rFonts w:ascii="Arial" w:hAnsi="Arial" w:cs="Arial"/>
          <w:color w:val="202122"/>
          <w:shd w:val="clear" w:color="auto" w:fill="FFFFFF"/>
        </w:rPr>
        <w:t>provides a stark example of unconscionability.</w:t>
      </w:r>
      <w:r>
        <w:rPr>
          <w:rStyle w:val="FootnoteReference"/>
          <w:rFonts w:ascii="Arial" w:hAnsi="Arial" w:cs="Arial"/>
          <w:color w:val="202122"/>
          <w:shd w:val="clear" w:color="auto" w:fill="FFFFFF"/>
        </w:rPr>
        <w:footnoteReference w:id="95"/>
      </w:r>
      <w:r>
        <w:rPr>
          <w:rFonts w:ascii="Arial" w:hAnsi="Arial" w:cs="Arial"/>
          <w:color w:val="202122"/>
          <w:shd w:val="clear" w:color="auto" w:fill="FFFFFF"/>
        </w:rPr>
        <w:t xml:space="preserve"> Mr Heller, a driver for Uber Eats, asserted the right to a minimum wage.</w:t>
      </w:r>
      <w:r>
        <w:rPr>
          <w:rStyle w:val="FootnoteReference"/>
          <w:rFonts w:ascii="Arial" w:hAnsi="Arial" w:cs="Arial"/>
          <w:color w:val="202122"/>
          <w:shd w:val="clear" w:color="auto" w:fill="FFFFFF"/>
        </w:rPr>
        <w:footnoteReference w:id="96"/>
      </w:r>
      <w:r>
        <w:rPr>
          <w:rFonts w:ascii="Arial" w:hAnsi="Arial" w:cs="Arial"/>
          <w:color w:val="202122"/>
          <w:shd w:val="clear" w:color="auto" w:fill="FFFFFF"/>
        </w:rPr>
        <w:t xml:space="preserve"> The problem was that Heller was deemed an independent contractor under his agreement with Uber Eats. Only employees were statutorily entitled to a minimum wage under the Ontario Employment Standards Act.</w:t>
      </w:r>
      <w:r>
        <w:rPr>
          <w:rStyle w:val="FootnoteReference"/>
          <w:rFonts w:ascii="Arial" w:hAnsi="Arial" w:cs="Arial"/>
          <w:color w:val="202122"/>
          <w:shd w:val="clear" w:color="auto" w:fill="FFFFFF"/>
        </w:rPr>
        <w:footnoteReference w:id="97"/>
      </w:r>
      <w:r>
        <w:rPr>
          <w:rFonts w:ascii="Arial" w:hAnsi="Arial" w:cs="Arial"/>
          <w:color w:val="202122"/>
          <w:shd w:val="clear" w:color="auto" w:fill="FFFFFF"/>
        </w:rPr>
        <w:t xml:space="preserve"> Unfortunately for Mr Heller, his employment contract provided that any dispute would need to go to arbitration in the Netherlands.</w:t>
      </w:r>
      <w:r>
        <w:rPr>
          <w:rStyle w:val="FootnoteReference"/>
          <w:rFonts w:ascii="Arial" w:hAnsi="Arial" w:cs="Arial"/>
          <w:color w:val="202122"/>
          <w:shd w:val="clear" w:color="auto" w:fill="FFFFFF"/>
        </w:rPr>
        <w:footnoteReference w:id="98"/>
      </w:r>
      <w:r>
        <w:rPr>
          <w:rFonts w:ascii="Arial" w:hAnsi="Arial" w:cs="Arial"/>
          <w:color w:val="202122"/>
          <w:shd w:val="clear" w:color="auto" w:fill="FFFFFF"/>
        </w:rPr>
        <w:t xml:space="preserve"> Realising the impracticability of this clause, Heller contended that it was unenforceable because it was unconscionable.</w:t>
      </w:r>
      <w:r>
        <w:rPr>
          <w:rStyle w:val="FootnoteReference"/>
          <w:rFonts w:ascii="Arial" w:hAnsi="Arial" w:cs="Arial"/>
          <w:color w:val="202122"/>
          <w:shd w:val="clear" w:color="auto" w:fill="FFFFFF"/>
        </w:rPr>
        <w:footnoteReference w:id="99"/>
      </w:r>
      <w:r>
        <w:rPr>
          <w:rFonts w:ascii="Arial" w:hAnsi="Arial" w:cs="Arial"/>
          <w:color w:val="202122"/>
          <w:shd w:val="clear" w:color="auto" w:fill="FFFFFF"/>
        </w:rPr>
        <w:t xml:space="preserve"> The Canadian Supreme Court agreed with Heller, finding the arbitration clause within his employment agreement to be a “classic case of unconscionability.”</w:t>
      </w:r>
      <w:r>
        <w:rPr>
          <w:rStyle w:val="FootnoteReference"/>
          <w:rFonts w:ascii="Arial" w:hAnsi="Arial" w:cs="Arial"/>
          <w:color w:val="202122"/>
          <w:shd w:val="clear" w:color="auto" w:fill="FFFFFF"/>
        </w:rPr>
        <w:footnoteReference w:id="100"/>
      </w:r>
      <w:r>
        <w:rPr>
          <w:rFonts w:ascii="Arial" w:hAnsi="Arial" w:cs="Arial"/>
          <w:color w:val="202122"/>
          <w:shd w:val="clear" w:color="auto" w:fill="FFFFFF"/>
        </w:rPr>
        <w:t xml:space="preserve"> This was because there was a significant inequality of bargaining power and an improvident bargain.</w:t>
      </w:r>
      <w:r>
        <w:rPr>
          <w:rStyle w:val="FootnoteReference"/>
          <w:rFonts w:ascii="Arial" w:hAnsi="Arial" w:cs="Arial"/>
          <w:color w:val="202122"/>
          <w:shd w:val="clear" w:color="auto" w:fill="FFFFFF"/>
        </w:rPr>
        <w:footnoteReference w:id="101"/>
      </w:r>
      <w:r>
        <w:rPr>
          <w:rFonts w:ascii="Arial" w:hAnsi="Arial" w:cs="Arial"/>
          <w:color w:val="202122"/>
          <w:shd w:val="clear" w:color="auto" w:fill="FFFFFF"/>
        </w:rPr>
        <w:t xml:space="preserve"> An inequality of bargaining power was said to exist owing to one party (Heller) not being able to adequately protect his interests in the contracting process.</w:t>
      </w:r>
      <w:r>
        <w:rPr>
          <w:rStyle w:val="FootnoteReference"/>
          <w:rFonts w:ascii="Arial" w:hAnsi="Arial" w:cs="Arial"/>
          <w:color w:val="202122"/>
          <w:shd w:val="clear" w:color="auto" w:fill="FFFFFF"/>
        </w:rPr>
        <w:footnoteReference w:id="102"/>
      </w:r>
      <w:r>
        <w:rPr>
          <w:rFonts w:ascii="Arial" w:hAnsi="Arial" w:cs="Arial"/>
          <w:color w:val="202122"/>
          <w:shd w:val="clear" w:color="auto" w:fill="FFFFFF"/>
        </w:rPr>
        <w:t xml:space="preserve"> Inequality of bargaining power, by the court’s own admission, will readily arise in the standard form contract because of the party’s inability to freely enter or negotiate the contract, and a compromised ability to understand or appreciate the meaning and significance of the contractual terms.</w:t>
      </w:r>
      <w:r>
        <w:rPr>
          <w:rStyle w:val="FootnoteReference"/>
          <w:rFonts w:ascii="Arial" w:hAnsi="Arial" w:cs="Arial"/>
          <w:color w:val="202122"/>
          <w:shd w:val="clear" w:color="auto" w:fill="FFFFFF"/>
        </w:rPr>
        <w:footnoteReference w:id="103"/>
      </w:r>
      <w:r>
        <w:rPr>
          <w:rFonts w:ascii="Arial" w:hAnsi="Arial" w:cs="Arial"/>
          <w:color w:val="202122"/>
          <w:shd w:val="clear" w:color="auto" w:fill="FFFFFF"/>
        </w:rPr>
        <w:t xml:space="preserve"> The second element of unconscionability, an improvident bargain, arises where the bargain unduly advantages the stronger party or unduly disadvantages the more vulnerable party.</w:t>
      </w:r>
      <w:r>
        <w:rPr>
          <w:rStyle w:val="FootnoteReference"/>
          <w:rFonts w:ascii="Arial" w:hAnsi="Arial" w:cs="Arial"/>
          <w:color w:val="202122"/>
          <w:shd w:val="clear" w:color="auto" w:fill="FFFFFF"/>
        </w:rPr>
        <w:footnoteReference w:id="104"/>
      </w:r>
      <w:r>
        <w:rPr>
          <w:rFonts w:ascii="Arial" w:hAnsi="Arial" w:cs="Arial"/>
          <w:color w:val="202122"/>
          <w:shd w:val="clear" w:color="auto" w:fill="FFFFFF"/>
        </w:rPr>
        <w:t xml:space="preserve"> Heller not having access to dispute resolution was seen as a straightforward example of an improvident bargain. He was therefore successful in having the arbitration clause set aside.</w:t>
      </w:r>
      <w:r>
        <w:rPr>
          <w:rStyle w:val="FootnoteReference"/>
          <w:rFonts w:ascii="Arial" w:hAnsi="Arial" w:cs="Arial"/>
          <w:color w:val="202122"/>
          <w:shd w:val="clear" w:color="auto" w:fill="FFFFFF"/>
        </w:rPr>
        <w:footnoteReference w:id="105"/>
      </w:r>
    </w:p>
    <w:p w14:paraId="72B2B7D7" w14:textId="77777777" w:rsidR="00CC7EB4" w:rsidRPr="003120B7" w:rsidRDefault="00CC7EB4" w:rsidP="00CC7EB4">
      <w:pPr>
        <w:spacing w:after="160" w:line="360" w:lineRule="auto"/>
        <w:jc w:val="both"/>
        <w:rPr>
          <w:rFonts w:ascii="Arial" w:hAnsi="Arial" w:cs="Arial"/>
          <w:color w:val="202122"/>
          <w:shd w:val="clear" w:color="auto" w:fill="FFFFFF"/>
        </w:rPr>
      </w:pPr>
      <w:r>
        <w:rPr>
          <w:rFonts w:ascii="Arial" w:hAnsi="Arial" w:cs="Arial"/>
          <w:i/>
          <w:iCs/>
          <w:color w:val="202122"/>
          <w:shd w:val="clear" w:color="auto" w:fill="FFFFFF"/>
        </w:rPr>
        <w:lastRenderedPageBreak/>
        <w:t>A       Expansion of unconscionability</w:t>
      </w:r>
    </w:p>
    <w:p w14:paraId="4D439A22" w14:textId="77777777" w:rsidR="00CC7EB4" w:rsidRPr="00DF68C8" w:rsidRDefault="00CC7EB4" w:rsidP="00CC7EB4">
      <w:pPr>
        <w:spacing w:after="160" w:line="360" w:lineRule="auto"/>
        <w:jc w:val="both"/>
        <w:rPr>
          <w:rFonts w:ascii="Arial" w:hAnsi="Arial" w:cs="Arial"/>
          <w:color w:val="202122"/>
          <w:shd w:val="clear" w:color="auto" w:fill="FFFFFF"/>
        </w:rPr>
      </w:pPr>
      <w:r>
        <w:rPr>
          <w:rFonts w:ascii="Arial" w:hAnsi="Arial" w:cs="Arial"/>
          <w:color w:val="202122"/>
          <w:shd w:val="clear" w:color="auto" w:fill="FFFFFF"/>
        </w:rPr>
        <w:t xml:space="preserve">As </w:t>
      </w:r>
      <w:r>
        <w:rPr>
          <w:rFonts w:ascii="Arial" w:hAnsi="Arial" w:cs="Arial"/>
          <w:i/>
          <w:iCs/>
          <w:color w:val="202122"/>
          <w:shd w:val="clear" w:color="auto" w:fill="FFFFFF"/>
        </w:rPr>
        <w:t xml:space="preserve">Heller </w:t>
      </w:r>
      <w:r>
        <w:rPr>
          <w:rFonts w:ascii="Arial" w:hAnsi="Arial" w:cs="Arial"/>
          <w:color w:val="202122"/>
          <w:shd w:val="clear" w:color="auto" w:fill="FFFFFF"/>
        </w:rPr>
        <w:t>demonstrates, the doctrine of unconscionability has an important role to play in policing standard form contracts. Indeed, one could venture to say that many standard form contracts are simply unconscionable. An inequality of bargaining power is almost a given, and improvident bargains are all too common. Taken to its extremity, the unconscionability regime could apply to a near majority of standard form contracts. As Stace, Chan and Sims’ study of standard form contracts elucidates, onerous and one-sided terms are the norm.</w:t>
      </w:r>
      <w:r>
        <w:rPr>
          <w:rStyle w:val="FootnoteReference"/>
          <w:rFonts w:ascii="Arial" w:hAnsi="Arial" w:cs="Arial"/>
          <w:color w:val="202122"/>
          <w:shd w:val="clear" w:color="auto" w:fill="FFFFFF"/>
        </w:rPr>
        <w:footnoteReference w:id="106"/>
      </w:r>
      <w:r>
        <w:rPr>
          <w:rFonts w:ascii="Arial" w:hAnsi="Arial" w:cs="Arial"/>
          <w:color w:val="202122"/>
          <w:shd w:val="clear" w:color="auto" w:fill="FFFFFF"/>
        </w:rPr>
        <w:t xml:space="preserve"> Every one out of the 134 contracts analysed in their study had a potentially unfair term.</w:t>
      </w:r>
      <w:r>
        <w:rPr>
          <w:rStyle w:val="FootnoteReference"/>
          <w:rFonts w:ascii="Arial" w:hAnsi="Arial" w:cs="Arial"/>
          <w:color w:val="202122"/>
          <w:shd w:val="clear" w:color="auto" w:fill="FFFFFF"/>
        </w:rPr>
        <w:footnoteReference w:id="107"/>
      </w:r>
      <w:r>
        <w:rPr>
          <w:rFonts w:ascii="Arial" w:hAnsi="Arial" w:cs="Arial"/>
          <w:color w:val="202122"/>
          <w:shd w:val="clear" w:color="auto" w:fill="FFFFFF"/>
        </w:rPr>
        <w:t xml:space="preserve"> The median number of potentially unfair terms was 16.5.</w:t>
      </w:r>
      <w:r>
        <w:rPr>
          <w:rStyle w:val="FootnoteReference"/>
          <w:rFonts w:ascii="Arial" w:hAnsi="Arial" w:cs="Arial"/>
          <w:color w:val="202122"/>
          <w:shd w:val="clear" w:color="auto" w:fill="FFFFFF"/>
        </w:rPr>
        <w:footnoteReference w:id="108"/>
      </w:r>
      <w:r>
        <w:rPr>
          <w:rFonts w:ascii="Arial" w:hAnsi="Arial" w:cs="Arial"/>
          <w:color w:val="202122"/>
          <w:shd w:val="clear" w:color="auto" w:fill="FFFFFF"/>
        </w:rPr>
        <w:t xml:space="preserve"> It would not be a stretch to say that many of the more egregious contracts would be unconscionable. Of course, the Canadian Supreme Court was at pains to point out that to say that a standard form contract is not by itself enough to establish an inequality of bargaining power.</w:t>
      </w:r>
      <w:r>
        <w:rPr>
          <w:rStyle w:val="FootnoteReference"/>
          <w:rFonts w:ascii="Arial" w:hAnsi="Arial" w:cs="Arial"/>
          <w:color w:val="202122"/>
          <w:shd w:val="clear" w:color="auto" w:fill="FFFFFF"/>
        </w:rPr>
        <w:footnoteReference w:id="109"/>
      </w:r>
      <w:r>
        <w:rPr>
          <w:rFonts w:ascii="Arial" w:hAnsi="Arial" w:cs="Arial"/>
          <w:color w:val="202122"/>
          <w:shd w:val="clear" w:color="auto" w:fill="FFFFFF"/>
        </w:rPr>
        <w:t xml:space="preserve"> But empirically, utilising the criteria of the judgment, many standard form contracts will almost inevitably have an inequality of bargaining power.</w:t>
      </w:r>
    </w:p>
    <w:p w14:paraId="357CDAE7" w14:textId="77777777" w:rsidR="00CC7EB4" w:rsidRDefault="00CC7EB4" w:rsidP="00CC7EB4">
      <w:pPr>
        <w:spacing w:after="160" w:line="360" w:lineRule="auto"/>
        <w:jc w:val="both"/>
        <w:rPr>
          <w:rStyle w:val="textlayer--absolute"/>
          <w:rFonts w:ascii="Arial" w:hAnsi="Arial" w:cs="Arial"/>
        </w:rPr>
      </w:pPr>
      <w:r>
        <w:rPr>
          <w:rFonts w:ascii="Arial" w:hAnsi="Arial" w:cs="Arial"/>
          <w:color w:val="202122"/>
          <w:shd w:val="clear" w:color="auto" w:fill="FFFFFF"/>
        </w:rPr>
        <w:t xml:space="preserve">Unconscionability, both in equity and in statute, may intercede in the face of unjust standard form contracts and provide the consumer relief. Indeed, the ratio decidendi of </w:t>
      </w:r>
      <w:r>
        <w:rPr>
          <w:rFonts w:ascii="Arial" w:hAnsi="Arial" w:cs="Arial"/>
          <w:i/>
          <w:iCs/>
          <w:color w:val="202122"/>
          <w:shd w:val="clear" w:color="auto" w:fill="FFFFFF"/>
        </w:rPr>
        <w:t>Heller</w:t>
      </w:r>
      <w:r>
        <w:rPr>
          <w:rFonts w:ascii="Arial" w:hAnsi="Arial" w:cs="Arial"/>
          <w:color w:val="202122"/>
          <w:shd w:val="clear" w:color="auto" w:fill="FFFFFF"/>
        </w:rPr>
        <w:t xml:space="preserve"> was crafted so as to more readily encapsulate standard form contracts.</w:t>
      </w:r>
      <w:r>
        <w:rPr>
          <w:rStyle w:val="FootnoteReference"/>
          <w:rFonts w:ascii="Arial" w:hAnsi="Arial" w:cs="Arial"/>
          <w:color w:val="202122"/>
          <w:shd w:val="clear" w:color="auto" w:fill="FFFFFF"/>
        </w:rPr>
        <w:footnoteReference w:id="110"/>
      </w:r>
      <w:r>
        <w:rPr>
          <w:rFonts w:ascii="Arial" w:hAnsi="Arial" w:cs="Arial"/>
          <w:color w:val="202122"/>
          <w:shd w:val="clear" w:color="auto" w:fill="FFFFFF"/>
        </w:rPr>
        <w:t xml:space="preserve"> Uber, the defendant, argued that a finding of unconscionability required knowledge by the defendant of the plaintiff’s vulnerability. This argument was given short shrift by the majority in noting that such a </w:t>
      </w:r>
      <w:r w:rsidRPr="000E5A62">
        <w:rPr>
          <w:rFonts w:ascii="Arial" w:hAnsi="Arial" w:cs="Arial"/>
          <w:color w:val="202122"/>
          <w:shd w:val="clear" w:color="auto" w:fill="FFFFFF"/>
        </w:rPr>
        <w:t xml:space="preserve">rigid requirement would </w:t>
      </w:r>
      <w:r>
        <w:rPr>
          <w:rFonts w:ascii="Arial" w:hAnsi="Arial" w:cs="Arial"/>
          <w:color w:val="202122"/>
          <w:shd w:val="clear" w:color="auto" w:fill="FFFFFF"/>
        </w:rPr>
        <w:t>“</w:t>
      </w:r>
      <w:r w:rsidRPr="000E5A62">
        <w:rPr>
          <w:rStyle w:val="textlayer--absolute"/>
          <w:rFonts w:ascii="Arial" w:hAnsi="Arial" w:cs="Arial"/>
        </w:rPr>
        <w:t>erode the modern relevance of the unconscionability doctrine,</w:t>
      </w:r>
      <w:r>
        <w:rPr>
          <w:rFonts w:ascii="Arial" w:hAnsi="Arial" w:cs="Arial"/>
          <w:color w:val="000000"/>
        </w:rPr>
        <w:t xml:space="preserve"> </w:t>
      </w:r>
      <w:r w:rsidRPr="000E5A62">
        <w:rPr>
          <w:rStyle w:val="textlayer--absolute"/>
          <w:rFonts w:ascii="Arial" w:hAnsi="Arial" w:cs="Arial"/>
        </w:rPr>
        <w:t>effectively</w:t>
      </w:r>
      <w:r>
        <w:rPr>
          <w:rStyle w:val="textlayer--absolute"/>
          <w:rFonts w:ascii="Arial" w:hAnsi="Arial" w:cs="Arial"/>
        </w:rPr>
        <w:t xml:space="preserve"> </w:t>
      </w:r>
      <w:r w:rsidRPr="000E5A62">
        <w:rPr>
          <w:rStyle w:val="textlayer--absolute"/>
          <w:rFonts w:ascii="Arial" w:hAnsi="Arial" w:cs="Arial"/>
        </w:rPr>
        <w:t>shielding from its reach</w:t>
      </w:r>
      <w:r>
        <w:rPr>
          <w:rStyle w:val="textlayer--absolute"/>
          <w:rFonts w:ascii="Arial" w:hAnsi="Arial" w:cs="Arial"/>
        </w:rPr>
        <w:t xml:space="preserve"> </w:t>
      </w:r>
      <w:r w:rsidRPr="000E5A62">
        <w:rPr>
          <w:rStyle w:val="textlayer--absolute"/>
          <w:rFonts w:ascii="Arial" w:hAnsi="Arial" w:cs="Arial"/>
        </w:rPr>
        <w:t>improvident contracts of adhesion where the</w:t>
      </w:r>
      <w:r>
        <w:rPr>
          <w:rFonts w:ascii="Arial" w:hAnsi="Arial" w:cs="Arial"/>
          <w:color w:val="000000"/>
        </w:rPr>
        <w:t xml:space="preserve"> </w:t>
      </w:r>
      <w:r w:rsidRPr="000E5A62">
        <w:rPr>
          <w:rStyle w:val="textlayer--absolute"/>
          <w:rFonts w:ascii="Arial" w:hAnsi="Arial" w:cs="Arial"/>
        </w:rPr>
        <w:t>parties did not interact or negotiate.</w:t>
      </w:r>
      <w:r>
        <w:rPr>
          <w:rStyle w:val="textlayer--absolute"/>
          <w:rFonts w:ascii="Arial" w:hAnsi="Arial" w:cs="Arial"/>
        </w:rPr>
        <w:t>”</w:t>
      </w:r>
      <w:r>
        <w:rPr>
          <w:rStyle w:val="FootnoteReference"/>
          <w:rFonts w:ascii="Arial" w:hAnsi="Arial" w:cs="Arial"/>
        </w:rPr>
        <w:footnoteReference w:id="111"/>
      </w:r>
      <w:r>
        <w:rPr>
          <w:rStyle w:val="textlayer--absolute"/>
          <w:rFonts w:ascii="Arial" w:hAnsi="Arial" w:cs="Arial"/>
        </w:rPr>
        <w:t xml:space="preserve"> It is unknown how New Zealand will respond in the case of an unconscionable bargain within a standard form contract, but existing authority suggests that there must be knowledge (either actual or constructive) of the weaker party’s disability or disadvantage.</w:t>
      </w:r>
      <w:r>
        <w:rPr>
          <w:rStyle w:val="FootnoteReference"/>
          <w:rFonts w:ascii="Arial" w:hAnsi="Arial" w:cs="Arial"/>
        </w:rPr>
        <w:footnoteReference w:id="112"/>
      </w:r>
      <w:r>
        <w:rPr>
          <w:rStyle w:val="textlayer--absolute"/>
          <w:rFonts w:ascii="Arial" w:hAnsi="Arial" w:cs="Arial"/>
        </w:rPr>
        <w:t xml:space="preserve"> Constructive knowledge would be easily proven if the stronger party dealt with a </w:t>
      </w:r>
      <w:r>
        <w:rPr>
          <w:rStyle w:val="textlayer--absolute"/>
          <w:rFonts w:ascii="Arial" w:hAnsi="Arial" w:cs="Arial"/>
        </w:rPr>
        <w:lastRenderedPageBreak/>
        <w:t>homogeneous group of consumers on a regular basis. Uber, for example, would likely have had constructive notice of Heller’s vulnerable characteristics because they knew the low average annual income of Uber drivers and the cost of adjudication in the Netherlands.</w:t>
      </w:r>
      <w:r>
        <w:rPr>
          <w:rStyle w:val="FootnoteReference"/>
          <w:rFonts w:ascii="Arial" w:hAnsi="Arial" w:cs="Arial"/>
        </w:rPr>
        <w:footnoteReference w:id="113"/>
      </w:r>
      <w:r>
        <w:rPr>
          <w:rStyle w:val="textlayer--absolute"/>
          <w:rFonts w:ascii="Arial" w:hAnsi="Arial" w:cs="Arial"/>
        </w:rPr>
        <w:t xml:space="preserve"> </w:t>
      </w:r>
    </w:p>
    <w:p w14:paraId="11E68D83" w14:textId="77777777" w:rsidR="00CC7EB4" w:rsidRPr="00394705" w:rsidRDefault="00CC7EB4" w:rsidP="00CC7EB4">
      <w:pPr>
        <w:spacing w:after="160" w:line="360" w:lineRule="auto"/>
        <w:jc w:val="both"/>
        <w:rPr>
          <w:rStyle w:val="textlayer--absolute"/>
          <w:rFonts w:ascii="Arial" w:hAnsi="Arial" w:cs="Arial"/>
        </w:rPr>
      </w:pPr>
      <w:r>
        <w:rPr>
          <w:rStyle w:val="textlayer--absolute"/>
          <w:rFonts w:ascii="Arial" w:hAnsi="Arial" w:cs="Arial"/>
        </w:rPr>
        <w:t xml:space="preserve">The current knowledge requirement in New Zealand makes an equitable unconscionability claim difficult in circumstances where the parties contracted at arm’s length or where consumers are from a range of different demographics. It is difficult to see how a business or producer could have constructive knowledge of vulnerability where they attach a standard form contract to an online shop (with a broad spectrum of customers). New Zealand’s new legislative prohibition of unconscionability and its intention to be broader than the common law means that consumers may not be bound by existing authority. A wronged consumer in New Zealand would do well to argue that there is no knowledge requirement for unconscionability to apply. Pointing to the </w:t>
      </w:r>
      <w:r>
        <w:rPr>
          <w:rStyle w:val="textlayer--absolute"/>
          <w:rFonts w:ascii="Arial" w:hAnsi="Arial" w:cs="Arial"/>
          <w:i/>
          <w:iCs/>
        </w:rPr>
        <w:t xml:space="preserve">Heller </w:t>
      </w:r>
      <w:r>
        <w:rPr>
          <w:rStyle w:val="textlayer--absolute"/>
          <w:rFonts w:ascii="Arial" w:hAnsi="Arial" w:cs="Arial"/>
        </w:rPr>
        <w:t>judgment and the need for the law to catch up to the needs of consumers, one would hope that a New Zealand court would agree. This is the position taken by Sean Chan, who considers there to be no requirement of actual or constructive knowledge of the weaker party or the unconscionable conduct itself.</w:t>
      </w:r>
      <w:r>
        <w:rPr>
          <w:rStyle w:val="FootnoteReference"/>
          <w:rFonts w:ascii="Arial" w:hAnsi="Arial" w:cs="Arial"/>
        </w:rPr>
        <w:footnoteReference w:id="114"/>
      </w:r>
    </w:p>
    <w:p w14:paraId="54CF99E7" w14:textId="77777777" w:rsidR="00CC7EB4" w:rsidRDefault="00CC7EB4" w:rsidP="00CC7EB4">
      <w:pPr>
        <w:spacing w:after="160" w:line="360" w:lineRule="auto"/>
        <w:jc w:val="both"/>
        <w:rPr>
          <w:rStyle w:val="textlayer--absolute"/>
          <w:rFonts w:ascii="Arial" w:hAnsi="Arial" w:cs="Arial"/>
        </w:rPr>
      </w:pPr>
      <w:r>
        <w:rPr>
          <w:rStyle w:val="textlayer--absolute"/>
          <w:rFonts w:ascii="Arial" w:hAnsi="Arial" w:cs="Arial"/>
        </w:rPr>
        <w:t>Parliamentary debate surrounding the introduction of the unconscionability prohibition makes it clear that New Zealand intended to harmonise the unconscionability doctrine to that of Australia.</w:t>
      </w:r>
      <w:r>
        <w:rPr>
          <w:rStyle w:val="FootnoteReference"/>
          <w:rFonts w:ascii="Arial" w:hAnsi="Arial" w:cs="Arial"/>
        </w:rPr>
        <w:footnoteReference w:id="115"/>
      </w:r>
      <w:r>
        <w:rPr>
          <w:rStyle w:val="textlayer--absolute"/>
          <w:rFonts w:ascii="Arial" w:hAnsi="Arial" w:cs="Arial"/>
        </w:rPr>
        <w:t xml:space="preserve"> The need for harmonisation was particularly pressing, it was argued, owing to the limited case law on our side of the Tasman.</w:t>
      </w:r>
      <w:r>
        <w:rPr>
          <w:rStyle w:val="FootnoteReference"/>
          <w:rFonts w:ascii="Arial" w:hAnsi="Arial" w:cs="Arial"/>
        </w:rPr>
        <w:footnoteReference w:id="116"/>
      </w:r>
      <w:r>
        <w:rPr>
          <w:rStyle w:val="textlayer--absolute"/>
          <w:rFonts w:ascii="Arial" w:hAnsi="Arial" w:cs="Arial"/>
        </w:rPr>
        <w:t xml:space="preserve"> The reality of this desire for harmonisation may mean that New Zealand’s future of unconscionability takes on a less consumer-friendly role which equates voluntariness with consent and does little to consider the circumstances of choice. Why is this? The recent High Court of Australia decision </w:t>
      </w:r>
      <w:r>
        <w:rPr>
          <w:rStyle w:val="textlayer--absolute"/>
          <w:rFonts w:ascii="Arial" w:hAnsi="Arial" w:cs="Arial"/>
          <w:i/>
          <w:iCs/>
        </w:rPr>
        <w:t xml:space="preserve">ASIC v Kobelt </w:t>
      </w:r>
      <w:r>
        <w:rPr>
          <w:rStyle w:val="textlayer--absolute"/>
          <w:rFonts w:ascii="Arial" w:hAnsi="Arial" w:cs="Arial"/>
        </w:rPr>
        <w:t>considered whether the provision of “book-up credit” to vulnerable indigenous customers constituted unconscionable conduct.</w:t>
      </w:r>
      <w:r>
        <w:rPr>
          <w:rStyle w:val="FootnoteReference"/>
          <w:rFonts w:ascii="Arial" w:hAnsi="Arial" w:cs="Arial"/>
        </w:rPr>
        <w:footnoteReference w:id="117"/>
      </w:r>
      <w:r>
        <w:rPr>
          <w:rStyle w:val="textlayer--absolute"/>
          <w:rFonts w:ascii="Arial" w:hAnsi="Arial" w:cs="Arial"/>
        </w:rPr>
        <w:t xml:space="preserve"> </w:t>
      </w:r>
      <w:r>
        <w:rPr>
          <w:rStyle w:val="textlayer--absolute"/>
          <w:rFonts w:ascii="Arial" w:hAnsi="Arial" w:cs="Arial"/>
        </w:rPr>
        <w:lastRenderedPageBreak/>
        <w:t>Ultimately, the High Court found that there was no unconscionability because the customers entered into the system “voluntarily”.</w:t>
      </w:r>
      <w:r>
        <w:rPr>
          <w:rStyle w:val="FootnoteReference"/>
          <w:rFonts w:ascii="Arial" w:hAnsi="Arial" w:cs="Arial"/>
        </w:rPr>
        <w:footnoteReference w:id="118"/>
      </w:r>
      <w:r>
        <w:rPr>
          <w:rStyle w:val="textlayer--absolute"/>
          <w:rFonts w:ascii="Arial" w:hAnsi="Arial" w:cs="Arial"/>
        </w:rPr>
        <w:t xml:space="preserve"> </w:t>
      </w:r>
    </w:p>
    <w:p w14:paraId="3B501F6A" w14:textId="77777777" w:rsidR="00CC7EB4" w:rsidRDefault="00CC7EB4" w:rsidP="00CC7EB4">
      <w:pPr>
        <w:spacing w:after="160" w:line="360" w:lineRule="auto"/>
        <w:jc w:val="both"/>
        <w:rPr>
          <w:rStyle w:val="textlayer--absolute"/>
          <w:rFonts w:ascii="Arial" w:hAnsi="Arial" w:cs="Arial"/>
        </w:rPr>
      </w:pPr>
      <w:r>
        <w:rPr>
          <w:rStyle w:val="textlayer--absolute"/>
          <w:rFonts w:ascii="Arial" w:hAnsi="Arial" w:cs="Arial"/>
        </w:rPr>
        <w:t>The system in question was a book-up credit system whereby customers provided their debit cards and PIN details to a Mr Kobelt, authorising him to withdraw funds in order to repay their debts. Kobelt commonly withdrew all or nearly of the customers funds, designating half to repay debt and the other half as a form of store credit.</w:t>
      </w:r>
      <w:r>
        <w:rPr>
          <w:rStyle w:val="FootnoteReference"/>
          <w:rFonts w:ascii="Arial" w:hAnsi="Arial" w:cs="Arial"/>
        </w:rPr>
        <w:footnoteReference w:id="119"/>
      </w:r>
      <w:r>
        <w:rPr>
          <w:rStyle w:val="textlayer--absolute"/>
          <w:rFonts w:ascii="Arial" w:hAnsi="Arial" w:cs="Arial"/>
        </w:rPr>
        <w:t xml:space="preserve"> This conduct had the effect of “tying” customers to his business rather than leaving them the liquidity to shop elsewhere.</w:t>
      </w:r>
      <w:r>
        <w:rPr>
          <w:rStyle w:val="FootnoteReference"/>
          <w:rFonts w:ascii="Arial" w:hAnsi="Arial" w:cs="Arial"/>
        </w:rPr>
        <w:footnoteReference w:id="120"/>
      </w:r>
      <w:r>
        <w:rPr>
          <w:rStyle w:val="textlayer--absolute"/>
          <w:rFonts w:ascii="Arial" w:hAnsi="Arial" w:cs="Arial"/>
        </w:rPr>
        <w:t xml:space="preserve"> Kobelt’s customers lived in a desolate part of Australia and were “characterised by their poverty and low levels of literacy and numeracy.”</w:t>
      </w:r>
      <w:r>
        <w:rPr>
          <w:rStyle w:val="FootnoteReference"/>
          <w:rFonts w:ascii="Arial" w:hAnsi="Arial" w:cs="Arial"/>
        </w:rPr>
        <w:footnoteReference w:id="121"/>
      </w:r>
      <w:r>
        <w:rPr>
          <w:rStyle w:val="textlayer--absolute"/>
          <w:rFonts w:ascii="Arial" w:hAnsi="Arial" w:cs="Arial"/>
        </w:rPr>
        <w:t xml:space="preserve"> The characteristics of these customers coupled with their geographical remoteness meant that without the book-up system they would struggle to gain access to credit.</w:t>
      </w:r>
      <w:r>
        <w:rPr>
          <w:rStyle w:val="FootnoteReference"/>
          <w:rFonts w:ascii="Arial" w:hAnsi="Arial" w:cs="Arial"/>
        </w:rPr>
        <w:footnoteReference w:id="122"/>
      </w:r>
      <w:r>
        <w:rPr>
          <w:rStyle w:val="textlayer--absolute"/>
          <w:rFonts w:ascii="Arial" w:hAnsi="Arial" w:cs="Arial"/>
        </w:rPr>
        <w:t xml:space="preserve"> Notwithstanding these characteristics, the majority found that the consumer’s voluntary entry into the scheme warned against a finding of unconscionability.</w:t>
      </w:r>
      <w:r>
        <w:rPr>
          <w:rStyle w:val="FootnoteReference"/>
          <w:rFonts w:ascii="Arial" w:hAnsi="Arial" w:cs="Arial"/>
        </w:rPr>
        <w:footnoteReference w:id="123"/>
      </w:r>
      <w:r>
        <w:rPr>
          <w:rStyle w:val="textlayer--absolute"/>
          <w:rFonts w:ascii="Arial" w:hAnsi="Arial" w:cs="Arial"/>
        </w:rPr>
        <w:t xml:space="preserve"> Edelman J, dissenting, found Kobelt’s conduct to be unconscionable on the basis that the customers’ voluntariness of entry into the scheme was driven by their vulnerability, leaving them with a “Hobson’s choice.”</w:t>
      </w:r>
      <w:r>
        <w:rPr>
          <w:rStyle w:val="FootnoteReference"/>
          <w:rFonts w:ascii="Arial" w:hAnsi="Arial" w:cs="Arial"/>
        </w:rPr>
        <w:footnoteReference w:id="124"/>
      </w:r>
      <w:r>
        <w:rPr>
          <w:rStyle w:val="textlayer--absolute"/>
          <w:rFonts w:ascii="Arial" w:hAnsi="Arial" w:cs="Arial"/>
        </w:rPr>
        <w:t xml:space="preserve"> This conclusion, I submit, is correct. In this case, any purported consent was tarnished by the vague terms of the system, the consumer’s lack of education, and the lack of any other viable option.</w:t>
      </w:r>
      <w:r>
        <w:rPr>
          <w:rStyle w:val="FootnoteReference"/>
          <w:rFonts w:ascii="Arial" w:hAnsi="Arial" w:cs="Arial"/>
        </w:rPr>
        <w:footnoteReference w:id="125"/>
      </w:r>
      <w:r>
        <w:rPr>
          <w:rStyle w:val="textlayer--absolute"/>
          <w:rFonts w:ascii="Arial" w:hAnsi="Arial" w:cs="Arial"/>
        </w:rPr>
        <w:t xml:space="preserve"> While the customers ostensibly consented by offering their debit cards to Kobelt and not withdrawing from the system, it is hard to see how they consented to all of their money being taken at times, not being given back their bank card, and the denial of funds from their own bank account.</w:t>
      </w:r>
      <w:r>
        <w:rPr>
          <w:rStyle w:val="FootnoteReference"/>
          <w:rFonts w:ascii="Arial" w:hAnsi="Arial" w:cs="Arial"/>
        </w:rPr>
        <w:footnoteReference w:id="126"/>
      </w:r>
      <w:r>
        <w:rPr>
          <w:rStyle w:val="textlayer--absolute"/>
          <w:rFonts w:ascii="Arial" w:hAnsi="Arial" w:cs="Arial"/>
        </w:rPr>
        <w:t xml:space="preserve"> A large amount of criticism has been targeted towards the case along similar lines, which finds plenty to be desired in the majority’s treatment of consent and voluntariness.</w:t>
      </w:r>
      <w:r>
        <w:rPr>
          <w:rStyle w:val="FootnoteReference"/>
          <w:rFonts w:ascii="Arial" w:hAnsi="Arial" w:cs="Arial"/>
        </w:rPr>
        <w:footnoteReference w:id="127"/>
      </w:r>
      <w:r>
        <w:rPr>
          <w:rStyle w:val="textlayer--absolute"/>
          <w:rFonts w:ascii="Arial" w:hAnsi="Arial" w:cs="Arial"/>
        </w:rPr>
        <w:t xml:space="preserve"> While the majority recognised that the customers were illiterate and innumerate, they failed to </w:t>
      </w:r>
      <w:r>
        <w:rPr>
          <w:rStyle w:val="textlayer--absolute"/>
          <w:rFonts w:ascii="Arial" w:hAnsi="Arial" w:cs="Arial"/>
        </w:rPr>
        <w:lastRenderedPageBreak/>
        <w:t>take it a step further by recognising that these very traits cut across their autonomy to enter into the transaction.</w:t>
      </w:r>
      <w:r>
        <w:rPr>
          <w:rStyle w:val="FootnoteReference"/>
          <w:rFonts w:ascii="Arial" w:hAnsi="Arial" w:cs="Arial"/>
        </w:rPr>
        <w:footnoteReference w:id="128"/>
      </w:r>
      <w:r>
        <w:rPr>
          <w:rStyle w:val="textlayer--absolute"/>
          <w:rFonts w:ascii="Arial" w:hAnsi="Arial" w:cs="Arial"/>
        </w:rPr>
        <w:t xml:space="preserve"> </w:t>
      </w:r>
    </w:p>
    <w:p w14:paraId="0BD1FFF3" w14:textId="77777777" w:rsidR="00CC7EB4" w:rsidRDefault="00CC7EB4" w:rsidP="00CC7EB4">
      <w:pPr>
        <w:spacing w:after="160" w:line="360" w:lineRule="auto"/>
        <w:jc w:val="both"/>
        <w:rPr>
          <w:rStyle w:val="textlayer--absolute"/>
          <w:rFonts w:ascii="Arial" w:hAnsi="Arial" w:cs="Arial"/>
        </w:rPr>
      </w:pPr>
      <w:r>
        <w:rPr>
          <w:rStyle w:val="textlayer--absolute"/>
          <w:rFonts w:ascii="Arial" w:hAnsi="Arial" w:cs="Arial"/>
        </w:rPr>
        <w:t xml:space="preserve">The </w:t>
      </w:r>
      <w:r>
        <w:rPr>
          <w:rStyle w:val="textlayer--absolute"/>
          <w:rFonts w:ascii="Arial" w:hAnsi="Arial" w:cs="Arial"/>
          <w:i/>
          <w:iCs/>
        </w:rPr>
        <w:t xml:space="preserve">Kobelt </w:t>
      </w:r>
      <w:r>
        <w:rPr>
          <w:rStyle w:val="textlayer--absolute"/>
          <w:rFonts w:ascii="Arial" w:hAnsi="Arial" w:cs="Arial"/>
        </w:rPr>
        <w:t>decision has concerning consequences for the applicability of unconscionability to standard form contract. Standard form contracts are, at least according to the majority’s black and white analysis, voluntarily entered into by consumers, meaning that unconscionability can hardly apply. This analysis mistakenly sees voluntariness as a binary concept, when the reality of voluntariness and consent is more accurately described as given in shades.</w:t>
      </w:r>
      <w:r>
        <w:rPr>
          <w:rStyle w:val="FootnoteReference"/>
          <w:rFonts w:ascii="Arial" w:hAnsi="Arial" w:cs="Arial"/>
        </w:rPr>
        <w:footnoteReference w:id="129"/>
      </w:r>
      <w:r>
        <w:rPr>
          <w:rStyle w:val="textlayer--absolute"/>
          <w:rFonts w:ascii="Arial" w:hAnsi="Arial" w:cs="Arial"/>
        </w:rPr>
        <w:t xml:space="preserve"> This problem is readily recognised by Chunlin Leonhard, who in describing contract law as characterised by an ”unbearable lightness of consent” presents a spectrum of consent.</w:t>
      </w:r>
      <w:r>
        <w:rPr>
          <w:rStyle w:val="FootnoteReference"/>
          <w:rFonts w:ascii="Arial" w:hAnsi="Arial" w:cs="Arial"/>
        </w:rPr>
        <w:footnoteReference w:id="130"/>
      </w:r>
      <w:r>
        <w:rPr>
          <w:rStyle w:val="textlayer--absolute"/>
          <w:rFonts w:ascii="Arial" w:hAnsi="Arial" w:cs="Arial"/>
        </w:rPr>
        <w:t xml:space="preserve"> Unconscionability, she argues, falters because it is applied very narrowly and not used to correct the more subtle consent problems.</w:t>
      </w:r>
      <w:r>
        <w:rPr>
          <w:rStyle w:val="FootnoteReference"/>
          <w:rFonts w:ascii="Arial" w:hAnsi="Arial" w:cs="Arial"/>
        </w:rPr>
        <w:footnoteReference w:id="131"/>
      </w:r>
      <w:r>
        <w:rPr>
          <w:rStyle w:val="textlayer--absolute"/>
          <w:rFonts w:ascii="Arial" w:hAnsi="Arial" w:cs="Arial"/>
        </w:rPr>
        <w:t xml:space="preserve"> In illustrating the shortcomings of unconscionability, she describes how it is not applied to cover situations where contracts are tailored in order exploit the behavioural biases of one party, where one party did not understand the contract, or where one party had no alternatives.</w:t>
      </w:r>
      <w:r>
        <w:rPr>
          <w:rStyle w:val="FootnoteReference"/>
          <w:rFonts w:ascii="Arial" w:hAnsi="Arial" w:cs="Arial"/>
        </w:rPr>
        <w:footnoteReference w:id="132"/>
      </w:r>
      <w:r>
        <w:rPr>
          <w:rStyle w:val="textlayer--absolute"/>
          <w:rFonts w:ascii="Arial" w:hAnsi="Arial" w:cs="Arial"/>
        </w:rPr>
        <w:t xml:space="preserve"> The subprime mortgage market, for example (preluding the Global Financial Crisis), deliberately designed mortgage products so that they appeared more affordable to borrowers than they actually were.</w:t>
      </w:r>
      <w:r>
        <w:rPr>
          <w:rStyle w:val="FootnoteReference"/>
          <w:rFonts w:ascii="Arial" w:hAnsi="Arial" w:cs="Arial"/>
        </w:rPr>
        <w:footnoteReference w:id="133"/>
      </w:r>
      <w:r>
        <w:rPr>
          <w:rStyle w:val="textlayer--absolute"/>
          <w:rFonts w:ascii="Arial" w:hAnsi="Arial" w:cs="Arial"/>
        </w:rPr>
        <w:t xml:space="preserve"> In the resulting litigation (of course only brought by a fraction of the manipulated borrowers), the courts generally found the mortgage agreements to be binding upon the borrowers.</w:t>
      </w:r>
      <w:r>
        <w:rPr>
          <w:rStyle w:val="FootnoteReference"/>
          <w:rFonts w:ascii="Arial" w:hAnsi="Arial" w:cs="Arial"/>
        </w:rPr>
        <w:footnoteReference w:id="134"/>
      </w:r>
      <w:r>
        <w:rPr>
          <w:rStyle w:val="textlayer--absolute"/>
          <w:rFonts w:ascii="Arial" w:hAnsi="Arial" w:cs="Arial"/>
        </w:rPr>
        <w:t xml:space="preserve"> Leonhard, to no surprise, concludes that contract law enforces contracts in situations where consent is defective.</w:t>
      </w:r>
      <w:r>
        <w:rPr>
          <w:rStyle w:val="FootnoteReference"/>
          <w:rFonts w:ascii="Arial" w:hAnsi="Arial" w:cs="Arial"/>
        </w:rPr>
        <w:footnoteReference w:id="135"/>
      </w:r>
      <w:r>
        <w:rPr>
          <w:rStyle w:val="textlayer--absolute"/>
          <w:rFonts w:ascii="Arial" w:hAnsi="Arial" w:cs="Arial"/>
        </w:rPr>
        <w:t xml:space="preserve"> Therefore, while the law has evolved to capture the range of situations where one does not properly consent (undue influence and duress, for example), the law does not pay adequate respect to the other, more grey shades of consent.</w:t>
      </w:r>
      <w:r>
        <w:rPr>
          <w:rStyle w:val="FootnoteReference"/>
          <w:rFonts w:ascii="Arial" w:hAnsi="Arial" w:cs="Arial"/>
        </w:rPr>
        <w:footnoteReference w:id="136"/>
      </w:r>
    </w:p>
    <w:p w14:paraId="1254C9F9" w14:textId="77777777" w:rsidR="00CC7EB4" w:rsidRPr="00AB4972" w:rsidRDefault="00CC7EB4" w:rsidP="00CC7EB4">
      <w:pPr>
        <w:spacing w:after="160" w:line="360" w:lineRule="auto"/>
        <w:jc w:val="both"/>
        <w:rPr>
          <w:rFonts w:ascii="Arial" w:hAnsi="Arial" w:cs="Arial"/>
        </w:rPr>
      </w:pPr>
      <w:r>
        <w:rPr>
          <w:rStyle w:val="textlayer--absolute"/>
          <w:rFonts w:ascii="Arial" w:hAnsi="Arial" w:cs="Arial"/>
        </w:rPr>
        <w:t xml:space="preserve">Unconscionability, as we can see, is a doctrine crafted with the standard form contract in mind. However, as </w:t>
      </w:r>
      <w:r>
        <w:rPr>
          <w:rStyle w:val="textlayer--absolute"/>
          <w:rFonts w:ascii="Arial" w:hAnsi="Arial" w:cs="Arial"/>
          <w:i/>
          <w:iCs/>
        </w:rPr>
        <w:t xml:space="preserve">ASIC v Kobelt </w:t>
      </w:r>
      <w:r>
        <w:rPr>
          <w:rStyle w:val="textlayer--absolute"/>
          <w:rFonts w:ascii="Arial" w:hAnsi="Arial" w:cs="Arial"/>
        </w:rPr>
        <w:t xml:space="preserve">demonstrates, unconscionability is applied too narrowly to issues of consent as to be relatively toothless. Unconscionability generally </w:t>
      </w:r>
      <w:r>
        <w:rPr>
          <w:rStyle w:val="textlayer--absolute"/>
          <w:rFonts w:ascii="Arial" w:hAnsi="Arial" w:cs="Arial"/>
        </w:rPr>
        <w:lastRenderedPageBreak/>
        <w:t>will not intervene in the standard scenario where the consumer only lightly consents, unless the bargain is so improvident as to require the intervention of the courts.</w:t>
      </w:r>
      <w:r>
        <w:rPr>
          <w:rStyle w:val="FootnoteReference"/>
          <w:rFonts w:ascii="Arial" w:hAnsi="Arial" w:cs="Arial"/>
        </w:rPr>
        <w:footnoteReference w:id="137"/>
      </w:r>
      <w:r>
        <w:rPr>
          <w:rStyle w:val="textlayer--absolute"/>
          <w:rFonts w:ascii="Arial" w:hAnsi="Arial" w:cs="Arial"/>
        </w:rPr>
        <w:t xml:space="preserve"> The myriad of complications with statutory unconscionability in Australia also suggests that unconscionability cannot be the panacea for lack of informed consumer consent. Perhaps unconscionability is, as Professor Birks noted, as useful to the lawyer (or the consumer) as the concept of a small brown bird to an ornithologist.</w:t>
      </w:r>
      <w:r>
        <w:rPr>
          <w:rStyle w:val="FootnoteReference"/>
          <w:rFonts w:ascii="Arial" w:hAnsi="Arial" w:cs="Arial"/>
        </w:rPr>
        <w:footnoteReference w:id="138"/>
      </w:r>
      <w:r>
        <w:rPr>
          <w:rStyle w:val="textlayer--absolute"/>
          <w:rFonts w:ascii="Arial" w:hAnsi="Arial" w:cs="Arial"/>
        </w:rPr>
        <w:t xml:space="preserve"> It follows that unconscionability will only represent a real custodian of standard form contract once it better understands the complex phenomenon of consent (a hope shared by Dr Simon Blount).</w:t>
      </w:r>
      <w:r>
        <w:rPr>
          <w:rStyle w:val="FootnoteReference"/>
          <w:rFonts w:ascii="Arial" w:hAnsi="Arial" w:cs="Arial"/>
        </w:rPr>
        <w:footnoteReference w:id="139"/>
      </w:r>
      <w:r>
        <w:rPr>
          <w:rStyle w:val="textlayer--absolute"/>
          <w:rFonts w:ascii="Arial" w:hAnsi="Arial" w:cs="Arial"/>
        </w:rPr>
        <w:t xml:space="preserve"> In the meantime, consumers will continue to be bound by their purported consent, even if </w:t>
      </w:r>
      <w:r w:rsidRPr="00AA3E02">
        <w:rPr>
          <w:rStyle w:val="textlayer--absolute"/>
          <w:rFonts w:ascii="Arial" w:hAnsi="Arial" w:cs="Arial"/>
          <w:i/>
          <w:iCs/>
        </w:rPr>
        <w:t>de minimis</w:t>
      </w:r>
      <w:r>
        <w:rPr>
          <w:rStyle w:val="textlayer--absolute"/>
          <w:rFonts w:ascii="Arial" w:hAnsi="Arial" w:cs="Arial"/>
        </w:rPr>
        <w:t>. In light of these significant restrictions, the next section considers the recent legislative innovation prohibiting unfair contract terms and asks whether it does any better.</w:t>
      </w:r>
    </w:p>
    <w:p w14:paraId="59D50DE0" w14:textId="77777777" w:rsidR="00CC7EB4" w:rsidRPr="00AB7C3D" w:rsidRDefault="00CC7EB4" w:rsidP="00CC7EB4">
      <w:pPr>
        <w:spacing w:after="160" w:line="360" w:lineRule="auto"/>
        <w:jc w:val="both"/>
        <w:rPr>
          <w:rFonts w:ascii="Arial" w:hAnsi="Arial" w:cs="Arial"/>
          <w:i/>
          <w:iCs/>
          <w:color w:val="202122"/>
          <w:sz w:val="28"/>
          <w:szCs w:val="28"/>
          <w:shd w:val="clear" w:color="auto" w:fill="FFFFFF"/>
        </w:rPr>
      </w:pPr>
      <w:r>
        <w:rPr>
          <w:rFonts w:ascii="Arial" w:hAnsi="Arial" w:cs="Arial"/>
          <w:i/>
          <w:iCs/>
          <w:color w:val="202122"/>
          <w:sz w:val="28"/>
          <w:szCs w:val="28"/>
          <w:shd w:val="clear" w:color="auto" w:fill="FFFFFF"/>
        </w:rPr>
        <w:t xml:space="preserve">II        </w:t>
      </w:r>
      <w:r w:rsidRPr="00AB7C3D">
        <w:rPr>
          <w:rFonts w:ascii="Arial" w:hAnsi="Arial" w:cs="Arial"/>
          <w:i/>
          <w:iCs/>
          <w:color w:val="202122"/>
          <w:sz w:val="28"/>
          <w:szCs w:val="28"/>
          <w:shd w:val="clear" w:color="auto" w:fill="FFFFFF"/>
        </w:rPr>
        <w:t>Unfair contract terms regime</w:t>
      </w:r>
    </w:p>
    <w:p w14:paraId="5D8241F6" w14:textId="77777777" w:rsidR="00CC7EB4" w:rsidRDefault="00CC7EB4" w:rsidP="00CC7EB4">
      <w:pPr>
        <w:spacing w:after="160" w:line="360" w:lineRule="auto"/>
        <w:jc w:val="both"/>
        <w:rPr>
          <w:rFonts w:ascii="Arial" w:hAnsi="Arial" w:cs="Arial"/>
        </w:rPr>
      </w:pPr>
      <w:r>
        <w:rPr>
          <w:rFonts w:ascii="Arial" w:hAnsi="Arial" w:cs="Arial"/>
        </w:rPr>
        <w:t>Following years of lobbying and a number of failed attempts, New Zealand introduced an unfair contract term prohibition in 2013 (taking effect from 17 March 2015).</w:t>
      </w:r>
      <w:r>
        <w:rPr>
          <w:rStyle w:val="FootnoteReference"/>
          <w:rFonts w:ascii="Arial" w:hAnsi="Arial" w:cs="Arial"/>
        </w:rPr>
        <w:footnoteReference w:id="140"/>
      </w:r>
      <w:r>
        <w:rPr>
          <w:rFonts w:ascii="Arial" w:hAnsi="Arial" w:cs="Arial"/>
        </w:rPr>
        <w:t xml:space="preserve"> This legislation was introduced on the back of concerns at unfair contracts and the vulnerability of consumers.</w:t>
      </w:r>
      <w:r>
        <w:rPr>
          <w:rStyle w:val="FootnoteReference"/>
          <w:rFonts w:ascii="Arial" w:hAnsi="Arial" w:cs="Arial"/>
        </w:rPr>
        <w:footnoteReference w:id="141"/>
      </w:r>
      <w:r>
        <w:rPr>
          <w:rFonts w:ascii="Arial" w:hAnsi="Arial" w:cs="Arial"/>
        </w:rPr>
        <w:t xml:space="preserve"> A briefing submitted by the then Ministry of Consumer Affairs highlighted the perceived need for law in this space when it stated that “the underlying assumption of classical contract theory that both parties knowingly and willingly consent to the terms of the contract is often not valid, especially in the case of standard form contracts which are generally not expected to be read or understood by consumers.”</w:t>
      </w:r>
      <w:r>
        <w:rPr>
          <w:rStyle w:val="FootnoteReference"/>
          <w:rFonts w:ascii="Arial" w:hAnsi="Arial" w:cs="Arial"/>
        </w:rPr>
        <w:footnoteReference w:id="142"/>
      </w:r>
      <w:r>
        <w:rPr>
          <w:rFonts w:ascii="Arial" w:hAnsi="Arial" w:cs="Arial"/>
        </w:rPr>
        <w:t xml:space="preserve"> Another briefing illustrates a theme now all too familiar: “standard form contracts strain the concept of offer and acceptance to the point that conventional concepts of contract law and freedom of contract become artificial.”</w:t>
      </w:r>
      <w:r>
        <w:rPr>
          <w:rStyle w:val="FootnoteReference"/>
          <w:rFonts w:ascii="Arial" w:hAnsi="Arial" w:cs="Arial"/>
        </w:rPr>
        <w:footnoteReference w:id="143"/>
      </w:r>
    </w:p>
    <w:p w14:paraId="6929504F" w14:textId="77777777" w:rsidR="00CC7EB4" w:rsidRDefault="00CC7EB4" w:rsidP="00CC7EB4">
      <w:pPr>
        <w:spacing w:after="160" w:line="360" w:lineRule="auto"/>
        <w:jc w:val="both"/>
        <w:rPr>
          <w:rFonts w:ascii="Arial" w:hAnsi="Arial" w:cs="Arial"/>
        </w:rPr>
      </w:pPr>
      <w:r>
        <w:rPr>
          <w:rFonts w:ascii="Arial" w:hAnsi="Arial" w:cs="Arial"/>
        </w:rPr>
        <w:lastRenderedPageBreak/>
        <w:t>Section 46I  of the Fair Trading Act 1986 provides that unfair contract terms are void upon declaration by the High Court or District Court.</w:t>
      </w:r>
      <w:r>
        <w:rPr>
          <w:rStyle w:val="FootnoteReference"/>
          <w:rFonts w:ascii="Arial" w:hAnsi="Arial" w:cs="Arial"/>
        </w:rPr>
        <w:footnoteReference w:id="144"/>
      </w:r>
      <w:r>
        <w:rPr>
          <w:rFonts w:ascii="Arial" w:hAnsi="Arial" w:cs="Arial"/>
        </w:rPr>
        <w:t xml:space="preserve"> An unfair contract term is defined as a term (within a standard form contract) which (1) causes a significant imbalance in the parties’ rights and obligations under the contract; (2) is not reasonably necessary to protect the interests of the party who would be advantaged by the term; (3) would cause detriment (whether financial or otherwise) if it were applied, enforced or relied on.</w:t>
      </w:r>
      <w:r>
        <w:rPr>
          <w:rStyle w:val="FootnoteReference"/>
          <w:rFonts w:ascii="Arial" w:hAnsi="Arial" w:cs="Arial"/>
        </w:rPr>
        <w:footnoteReference w:id="145"/>
      </w:r>
      <w:r>
        <w:rPr>
          <w:rFonts w:ascii="Arial" w:hAnsi="Arial" w:cs="Arial"/>
        </w:rPr>
        <w:t xml:space="preserve"> In determining whether a term is unfair, the court may have regard to any matters it considers relevant but must consider the contract as a whole and the extent to which the impugned term is transparent.</w:t>
      </w:r>
      <w:r>
        <w:rPr>
          <w:rStyle w:val="FootnoteReference"/>
          <w:rFonts w:ascii="Arial" w:hAnsi="Arial" w:cs="Arial"/>
        </w:rPr>
        <w:footnoteReference w:id="146"/>
      </w:r>
      <w:r>
        <w:rPr>
          <w:rFonts w:ascii="Arial" w:hAnsi="Arial" w:cs="Arial"/>
        </w:rPr>
        <w:t xml:space="preserve"> Section 46M of the Fair Trading Act sets out examples of terms that “may be” unfair contract terms.</w:t>
      </w:r>
      <w:r>
        <w:rPr>
          <w:rStyle w:val="FootnoteReference"/>
          <w:rFonts w:ascii="Arial" w:hAnsi="Arial" w:cs="Arial"/>
        </w:rPr>
        <w:footnoteReference w:id="147"/>
      </w:r>
      <w:r>
        <w:rPr>
          <w:rFonts w:ascii="Arial" w:hAnsi="Arial" w:cs="Arial"/>
        </w:rPr>
        <w:t xml:space="preserve"> 13 such terms are listed, which are generally terms which allow unilateral variation of the contract and exempt and limit liability.</w:t>
      </w:r>
    </w:p>
    <w:p w14:paraId="70FACDA6" w14:textId="77777777" w:rsidR="00CC7EB4" w:rsidRDefault="00CC7EB4" w:rsidP="00CC7EB4">
      <w:pPr>
        <w:spacing w:after="160" w:line="360" w:lineRule="auto"/>
        <w:jc w:val="both"/>
        <w:rPr>
          <w:rFonts w:ascii="Arial" w:hAnsi="Arial" w:cs="Arial"/>
        </w:rPr>
      </w:pPr>
      <w:r>
        <w:rPr>
          <w:rFonts w:ascii="Arial" w:hAnsi="Arial" w:cs="Arial"/>
        </w:rPr>
        <w:t xml:space="preserve">The first case to consider the new legislation was </w:t>
      </w:r>
      <w:r>
        <w:rPr>
          <w:rFonts w:ascii="Arial" w:hAnsi="Arial" w:cs="Arial"/>
          <w:i/>
          <w:iCs/>
        </w:rPr>
        <w:t>Commerce Commission v Home Direct</w:t>
      </w:r>
      <w:r>
        <w:rPr>
          <w:rFonts w:ascii="Arial" w:hAnsi="Arial" w:cs="Arial"/>
        </w:rPr>
        <w:t>.</w:t>
      </w:r>
      <w:r>
        <w:rPr>
          <w:rStyle w:val="FootnoteReference"/>
          <w:rFonts w:ascii="Arial" w:hAnsi="Arial" w:cs="Arial"/>
        </w:rPr>
        <w:footnoteReference w:id="148"/>
      </w:r>
      <w:r>
        <w:rPr>
          <w:rFonts w:ascii="Arial" w:hAnsi="Arial" w:cs="Arial"/>
          <w:i/>
          <w:iCs/>
        </w:rPr>
        <w:t xml:space="preserve"> </w:t>
      </w:r>
      <w:r>
        <w:rPr>
          <w:rFonts w:ascii="Arial" w:hAnsi="Arial" w:cs="Arial"/>
        </w:rPr>
        <w:t>Home Direct was a mobile trader, which sold goods on credit through a credit facility known as a “Lifestyle Account.”</w:t>
      </w:r>
      <w:r>
        <w:rPr>
          <w:rStyle w:val="FootnoteReference"/>
          <w:rFonts w:ascii="Arial" w:hAnsi="Arial" w:cs="Arial"/>
        </w:rPr>
        <w:footnoteReference w:id="149"/>
      </w:r>
      <w:r>
        <w:rPr>
          <w:rFonts w:ascii="Arial" w:hAnsi="Arial" w:cs="Arial"/>
        </w:rPr>
        <w:t xml:space="preserve"> The credit facility automatically withdrew weekly or fortnightly amounts from the customers bank account.</w:t>
      </w:r>
      <w:r>
        <w:rPr>
          <w:rStyle w:val="FootnoteReference"/>
          <w:rFonts w:ascii="Arial" w:hAnsi="Arial" w:cs="Arial"/>
        </w:rPr>
        <w:footnoteReference w:id="150"/>
      </w:r>
      <w:r>
        <w:rPr>
          <w:rFonts w:ascii="Arial" w:hAnsi="Arial" w:cs="Arial"/>
        </w:rPr>
        <w:t xml:space="preserve"> In addition, Home Direct created a new mechanism known as the Voucher Entitlement Scheme. After customers repaid what they owed to Home Direct, they continued to be billed via automatic debit, with the money going into a so-called voucher entitlement. This voucher could then be used by the customer to purchase additional Home Direct products. The problem was that the voucher entitlements expired after 12 months and could not refunded or exchanged for cash.</w:t>
      </w:r>
      <w:r>
        <w:rPr>
          <w:rStyle w:val="FootnoteReference"/>
          <w:rFonts w:ascii="Arial" w:hAnsi="Arial" w:cs="Arial"/>
        </w:rPr>
        <w:footnoteReference w:id="151"/>
      </w:r>
      <w:r>
        <w:rPr>
          <w:rFonts w:ascii="Arial" w:hAnsi="Arial" w:cs="Arial"/>
        </w:rPr>
        <w:t xml:space="preserve"> In effect, the customer was having their money siphoned away upon paying their debt and locked in to purchasing more goods from Home Direct.</w:t>
      </w:r>
      <w:r>
        <w:rPr>
          <w:rStyle w:val="FootnoteReference"/>
          <w:rFonts w:ascii="Arial" w:hAnsi="Arial" w:cs="Arial"/>
        </w:rPr>
        <w:footnoteReference w:id="152"/>
      </w:r>
    </w:p>
    <w:p w14:paraId="60B0492C" w14:textId="77777777" w:rsidR="00CC7EB4" w:rsidRDefault="00CC7EB4" w:rsidP="00CC7EB4">
      <w:pPr>
        <w:spacing w:after="160" w:line="360" w:lineRule="auto"/>
        <w:jc w:val="both"/>
        <w:rPr>
          <w:rFonts w:ascii="Arial" w:hAnsi="Arial" w:cs="Arial"/>
          <w:color w:val="212121"/>
          <w:shd w:val="clear" w:color="auto" w:fill="FFFFFF"/>
        </w:rPr>
      </w:pPr>
      <w:r>
        <w:rPr>
          <w:rFonts w:ascii="Arial" w:hAnsi="Arial" w:cs="Arial"/>
        </w:rPr>
        <w:t xml:space="preserve">The High Court had no problem in finding that the Voucher Entitlement Scheme constituted an unfair contract term within the meaning of s 46L. First, a significant imbalance in the parties’ rights and obligations was evident: the term created the </w:t>
      </w:r>
      <w:r>
        <w:rPr>
          <w:rFonts w:ascii="Arial" w:hAnsi="Arial" w:cs="Arial"/>
        </w:rPr>
        <w:lastRenderedPageBreak/>
        <w:t>prospect of a windfall benefit for Home Direct if the vouchers were not spent within the 12 month period.</w:t>
      </w:r>
      <w:r>
        <w:rPr>
          <w:rStyle w:val="FootnoteReference"/>
          <w:rFonts w:ascii="Arial" w:hAnsi="Arial" w:cs="Arial"/>
        </w:rPr>
        <w:footnoteReference w:id="153"/>
      </w:r>
      <w:r>
        <w:rPr>
          <w:rFonts w:ascii="Arial" w:hAnsi="Arial" w:cs="Arial"/>
        </w:rPr>
        <w:t xml:space="preserve"> Secondly, the term was not reasonably necessary to protect Home Direct’s legitimate interests. Thirdly, the term created a clear detriment if relied upon.</w:t>
      </w:r>
      <w:r>
        <w:rPr>
          <w:rStyle w:val="FootnoteReference"/>
          <w:rFonts w:ascii="Arial" w:hAnsi="Arial" w:cs="Arial"/>
        </w:rPr>
        <w:footnoteReference w:id="154"/>
      </w:r>
      <w:r>
        <w:rPr>
          <w:rFonts w:ascii="Arial" w:hAnsi="Arial" w:cs="Arial"/>
        </w:rPr>
        <w:t xml:space="preserve"> A declaration of the unfair contract term was made accordingly.</w:t>
      </w:r>
      <w:r>
        <w:rPr>
          <w:rStyle w:val="FootnoteReference"/>
          <w:rFonts w:ascii="Arial" w:hAnsi="Arial" w:cs="Arial"/>
        </w:rPr>
        <w:footnoteReference w:id="155"/>
      </w:r>
      <w:r>
        <w:rPr>
          <w:rFonts w:ascii="Arial" w:hAnsi="Arial" w:cs="Arial"/>
        </w:rPr>
        <w:t xml:space="preserve"> Notably, the judgment gives some context into the clear need for an unfair contract terms regime and the failure of consent. The terms were held to be non-transparent, both in their content and presentation.</w:t>
      </w:r>
      <w:r>
        <w:rPr>
          <w:rStyle w:val="FootnoteReference"/>
          <w:rFonts w:ascii="Arial" w:hAnsi="Arial" w:cs="Arial"/>
        </w:rPr>
        <w:footnoteReference w:id="156"/>
      </w:r>
      <w:r>
        <w:rPr>
          <w:rFonts w:ascii="Arial" w:hAnsi="Arial" w:cs="Arial"/>
        </w:rPr>
        <w:t xml:space="preserve"> The terms of the Voucher Entitlement Scheme were difficult to find, being in a small font and toward the bottom of the </w:t>
      </w:r>
      <w:r w:rsidRPr="00F76F14">
        <w:rPr>
          <w:rFonts w:ascii="Arial" w:hAnsi="Arial" w:cs="Arial"/>
        </w:rPr>
        <w:t>contract.</w:t>
      </w:r>
      <w:r w:rsidRPr="00F76F14">
        <w:rPr>
          <w:rStyle w:val="FootnoteReference"/>
          <w:rFonts w:ascii="Arial" w:hAnsi="Arial" w:cs="Arial"/>
        </w:rPr>
        <w:footnoteReference w:id="157"/>
      </w:r>
      <w:r w:rsidRPr="00F76F14">
        <w:rPr>
          <w:rFonts w:ascii="Arial" w:hAnsi="Arial" w:cs="Arial"/>
        </w:rPr>
        <w:t xml:space="preserve"> Muir J accepted the Commerce Commission’s submission that </w:t>
      </w:r>
      <w:r w:rsidRPr="00F76F14">
        <w:rPr>
          <w:rFonts w:ascii="Arial" w:hAnsi="Arial" w:cs="Arial"/>
          <w:color w:val="212121"/>
          <w:shd w:val="clear" w:color="auto" w:fill="FFFFFF"/>
        </w:rPr>
        <w:t>the way the material was presented was not commensurate with its effect on the consumer’s rights and obligations under the Scheme and it could very easily have been missed</w:t>
      </w:r>
      <w:r>
        <w:rPr>
          <w:rFonts w:ascii="Arial" w:hAnsi="Arial" w:cs="Arial"/>
          <w:color w:val="212121"/>
          <w:shd w:val="clear" w:color="auto" w:fill="FFFFFF"/>
        </w:rPr>
        <w:t>.</w:t>
      </w:r>
      <w:r>
        <w:rPr>
          <w:rStyle w:val="FootnoteReference"/>
          <w:rFonts w:ascii="Arial" w:hAnsi="Arial" w:cs="Arial"/>
          <w:color w:val="212121"/>
          <w:shd w:val="clear" w:color="auto" w:fill="FFFFFF"/>
        </w:rPr>
        <w:footnoteReference w:id="158"/>
      </w:r>
      <w:r>
        <w:rPr>
          <w:rFonts w:ascii="Arial" w:hAnsi="Arial" w:cs="Arial"/>
          <w:color w:val="212121"/>
          <w:shd w:val="clear" w:color="auto" w:fill="FFFFFF"/>
        </w:rPr>
        <w:t xml:space="preserve"> Indeed, the phrasing of the scheme as an Voucher Entitlement Scheme may well have misled consumers into thinking that it was a bonus entitlement, rather than an extractive and predatory debiting system.</w:t>
      </w:r>
      <w:r>
        <w:rPr>
          <w:rStyle w:val="FootnoteReference"/>
          <w:rFonts w:ascii="Arial" w:hAnsi="Arial" w:cs="Arial"/>
          <w:color w:val="212121"/>
          <w:shd w:val="clear" w:color="auto" w:fill="FFFFFF"/>
        </w:rPr>
        <w:footnoteReference w:id="159"/>
      </w:r>
      <w:r>
        <w:rPr>
          <w:rFonts w:ascii="Arial" w:hAnsi="Arial" w:cs="Arial"/>
          <w:color w:val="212121"/>
          <w:shd w:val="clear" w:color="auto" w:fill="FFFFFF"/>
        </w:rPr>
        <w:t xml:space="preserve"> </w:t>
      </w:r>
    </w:p>
    <w:p w14:paraId="65F3FE2A" w14:textId="77777777" w:rsidR="00CC7EB4" w:rsidRDefault="00CC7EB4" w:rsidP="00CC7EB4">
      <w:pPr>
        <w:spacing w:after="160" w:line="360" w:lineRule="auto"/>
        <w:jc w:val="both"/>
        <w:rPr>
          <w:rFonts w:ascii="Arial" w:hAnsi="Arial" w:cs="Arial"/>
          <w:i/>
          <w:iCs/>
          <w:color w:val="212121"/>
          <w:shd w:val="clear" w:color="auto" w:fill="FFFFFF"/>
        </w:rPr>
      </w:pPr>
      <w:r>
        <w:rPr>
          <w:rFonts w:ascii="Arial" w:hAnsi="Arial" w:cs="Arial"/>
          <w:i/>
          <w:iCs/>
          <w:color w:val="212121"/>
          <w:shd w:val="clear" w:color="auto" w:fill="FFFFFF"/>
        </w:rPr>
        <w:t xml:space="preserve">A        Transparency requirement? </w:t>
      </w:r>
    </w:p>
    <w:p w14:paraId="5C6A81A6" w14:textId="77777777" w:rsidR="00CC7EB4" w:rsidRDefault="00CC7EB4" w:rsidP="00CC7EB4">
      <w:pPr>
        <w:spacing w:after="160" w:line="360" w:lineRule="auto"/>
        <w:jc w:val="both"/>
        <w:rPr>
          <w:rFonts w:ascii="Arial" w:hAnsi="Arial" w:cs="Arial"/>
          <w:color w:val="212121"/>
          <w:shd w:val="clear" w:color="auto" w:fill="FFFFFF"/>
        </w:rPr>
      </w:pPr>
      <w:r>
        <w:rPr>
          <w:rFonts w:ascii="Arial" w:hAnsi="Arial" w:cs="Arial"/>
          <w:color w:val="212121"/>
          <w:shd w:val="clear" w:color="auto" w:fill="FFFFFF"/>
        </w:rPr>
        <w:t>Section 46L of the Fair Trading Act provides that when determining whether a term is unfair, the court must take into account the extent to which the term is transparent.</w:t>
      </w:r>
      <w:r>
        <w:rPr>
          <w:rStyle w:val="FootnoteReference"/>
          <w:rFonts w:ascii="Arial" w:hAnsi="Arial" w:cs="Arial"/>
          <w:color w:val="212121"/>
          <w:shd w:val="clear" w:color="auto" w:fill="FFFFFF"/>
        </w:rPr>
        <w:footnoteReference w:id="160"/>
      </w:r>
      <w:r>
        <w:rPr>
          <w:rFonts w:ascii="Arial" w:hAnsi="Arial" w:cs="Arial"/>
          <w:color w:val="212121"/>
          <w:shd w:val="clear" w:color="auto" w:fill="FFFFFF"/>
        </w:rPr>
        <w:t xml:space="preserve"> A term will be transparent when legible, expressed in plain language, presented clearly, and readily available to the party affected by the term.</w:t>
      </w:r>
      <w:r>
        <w:rPr>
          <w:rStyle w:val="FootnoteReference"/>
          <w:rFonts w:ascii="Arial" w:hAnsi="Arial" w:cs="Arial"/>
          <w:color w:val="212121"/>
          <w:shd w:val="clear" w:color="auto" w:fill="FFFFFF"/>
        </w:rPr>
        <w:footnoteReference w:id="161"/>
      </w:r>
      <w:r>
        <w:rPr>
          <w:rFonts w:ascii="Arial" w:hAnsi="Arial" w:cs="Arial"/>
          <w:color w:val="212121"/>
          <w:shd w:val="clear" w:color="auto" w:fill="FFFFFF"/>
        </w:rPr>
        <w:t xml:space="preserve"> However, transparency is not a necessary requirement for a valid contract term. Transparency is only of importance when considering whether a term is unfair. Notice of a term is an important consideration, but not so important as to ensure the consent of the governed party, or to mandate transparency. The New Zealand approach to transparency therefore differs significantly to that of the UK, in which written terms of a contract are required to be transparent.</w:t>
      </w:r>
      <w:r>
        <w:rPr>
          <w:rStyle w:val="FootnoteReference"/>
          <w:rFonts w:ascii="Arial" w:hAnsi="Arial" w:cs="Arial"/>
          <w:color w:val="212121"/>
          <w:shd w:val="clear" w:color="auto" w:fill="FFFFFF"/>
        </w:rPr>
        <w:footnoteReference w:id="162"/>
      </w:r>
      <w:r>
        <w:rPr>
          <w:rFonts w:ascii="Arial" w:hAnsi="Arial" w:cs="Arial"/>
          <w:color w:val="212121"/>
          <w:shd w:val="clear" w:color="auto" w:fill="FFFFFF"/>
        </w:rPr>
        <w:t xml:space="preserve"> Regardless, the UK approach cannot be given too much credit due to the rather lacklustre requirements of transparency. A term is transparent </w:t>
      </w:r>
      <w:r>
        <w:rPr>
          <w:rFonts w:ascii="Arial" w:hAnsi="Arial" w:cs="Arial"/>
          <w:color w:val="212121"/>
          <w:shd w:val="clear" w:color="auto" w:fill="FFFFFF"/>
        </w:rPr>
        <w:lastRenderedPageBreak/>
        <w:t>in the UK if legible and expressed in plain and intelligible language.</w:t>
      </w:r>
      <w:r>
        <w:rPr>
          <w:rStyle w:val="FootnoteReference"/>
          <w:rFonts w:ascii="Arial" w:hAnsi="Arial" w:cs="Arial"/>
          <w:color w:val="212121"/>
          <w:shd w:val="clear" w:color="auto" w:fill="FFFFFF"/>
        </w:rPr>
        <w:footnoteReference w:id="163"/>
      </w:r>
      <w:r>
        <w:rPr>
          <w:rFonts w:ascii="Arial" w:hAnsi="Arial" w:cs="Arial"/>
          <w:color w:val="212121"/>
          <w:shd w:val="clear" w:color="auto" w:fill="FFFFFF"/>
        </w:rPr>
        <w:t xml:space="preserve"> A strict reading of the statutory test would render a simple, well written term transparent, even if the term was buried among other contractual terms or not sufficiently brought to the attention of the consumer.</w:t>
      </w:r>
    </w:p>
    <w:p w14:paraId="7CFCA8D3" w14:textId="77777777" w:rsidR="00CC7EB4" w:rsidRPr="000C775D" w:rsidRDefault="00CC7EB4" w:rsidP="00CC7EB4">
      <w:pPr>
        <w:spacing w:after="160" w:line="360" w:lineRule="auto"/>
        <w:jc w:val="both"/>
        <w:rPr>
          <w:rFonts w:ascii="Arial" w:hAnsi="Arial" w:cs="Arial"/>
          <w:color w:val="212121"/>
          <w:shd w:val="clear" w:color="auto" w:fill="FFFFFF"/>
        </w:rPr>
      </w:pPr>
      <w:r>
        <w:rPr>
          <w:rFonts w:ascii="Arial" w:hAnsi="Arial" w:cs="Arial"/>
          <w:color w:val="212121"/>
          <w:shd w:val="clear" w:color="auto" w:fill="FFFFFF"/>
        </w:rPr>
        <w:t>New Zealand’s unfair contract term regime does not deem a non-transparent term unfair if it does not create a significant imbalance in the parties’ rights and obligations.</w:t>
      </w:r>
      <w:r>
        <w:rPr>
          <w:rStyle w:val="FootnoteReference"/>
          <w:rFonts w:ascii="Arial" w:hAnsi="Arial" w:cs="Arial"/>
          <w:color w:val="212121"/>
          <w:shd w:val="clear" w:color="auto" w:fill="FFFFFF"/>
        </w:rPr>
        <w:footnoteReference w:id="164"/>
      </w:r>
      <w:r>
        <w:rPr>
          <w:rFonts w:ascii="Arial" w:hAnsi="Arial" w:cs="Arial"/>
          <w:color w:val="212121"/>
          <w:shd w:val="clear" w:color="auto" w:fill="FFFFFF"/>
        </w:rPr>
        <w:t xml:space="preserve"> Thus, while the unfair contract terms regime is centred on prohibiting unfair terms, a wickedly non-transparent but otherwise fair term will not be caught by s 46L. Some have argued that this should not be the case.</w:t>
      </w:r>
      <w:r>
        <w:rPr>
          <w:rStyle w:val="FootnoteReference"/>
          <w:rFonts w:ascii="Arial" w:hAnsi="Arial" w:cs="Arial"/>
          <w:color w:val="212121"/>
          <w:shd w:val="clear" w:color="auto" w:fill="FFFFFF"/>
        </w:rPr>
        <w:footnoteReference w:id="165"/>
      </w:r>
      <w:r>
        <w:rPr>
          <w:rFonts w:ascii="Arial" w:hAnsi="Arial" w:cs="Arial"/>
          <w:color w:val="212121"/>
          <w:shd w:val="clear" w:color="auto" w:fill="FFFFFF"/>
        </w:rPr>
        <w:t xml:space="preserve"> As things stand, the existing regime means that the consumer will be bound by a term which is intentionally illegible. It follows that the Fair Trading Act, while a useful aid in protecting consumers against the very worst of standard form contract, only treats the symptom of poor standard form and not the cause, a lack of consent. This is because the unfair contract terms regime does not incentivise the readability of contracts as there is “no real consequence” for drafting an illegible standard form contract.</w:t>
      </w:r>
      <w:r>
        <w:rPr>
          <w:rStyle w:val="FootnoteReference"/>
          <w:rFonts w:ascii="Arial" w:hAnsi="Arial" w:cs="Arial"/>
          <w:color w:val="212121"/>
          <w:shd w:val="clear" w:color="auto" w:fill="FFFFFF"/>
        </w:rPr>
        <w:footnoteReference w:id="166"/>
      </w:r>
      <w:r>
        <w:rPr>
          <w:rFonts w:ascii="Arial" w:hAnsi="Arial" w:cs="Arial"/>
          <w:color w:val="212121"/>
          <w:shd w:val="clear" w:color="auto" w:fill="FFFFFF"/>
        </w:rPr>
        <w:t xml:space="preserve"> So, while the Ministry of Consumer Affairs recognised the inherent lack of consent given to standard form contracts, they decided not to take it the step further by looking to improve this consent. Of course, as is traversed in Chapter Four, readability does not guarantee that consumers will read a contract or that their consent is more true and informed.</w:t>
      </w:r>
      <w:r>
        <w:rPr>
          <w:rStyle w:val="FootnoteReference"/>
          <w:rFonts w:ascii="Arial" w:hAnsi="Arial" w:cs="Arial"/>
          <w:color w:val="212121"/>
          <w:shd w:val="clear" w:color="auto" w:fill="FFFFFF"/>
        </w:rPr>
        <w:footnoteReference w:id="167"/>
      </w:r>
      <w:r>
        <w:rPr>
          <w:rFonts w:ascii="Arial" w:hAnsi="Arial" w:cs="Arial"/>
          <w:color w:val="212121"/>
          <w:shd w:val="clear" w:color="auto" w:fill="FFFFFF"/>
        </w:rPr>
        <w:t xml:space="preserve"> </w:t>
      </w:r>
    </w:p>
    <w:p w14:paraId="03E59999" w14:textId="77777777" w:rsidR="00CC7EB4" w:rsidRPr="001C3A81" w:rsidRDefault="00CC7EB4" w:rsidP="00CC7EB4">
      <w:pPr>
        <w:spacing w:after="160" w:line="360" w:lineRule="auto"/>
        <w:jc w:val="both"/>
        <w:rPr>
          <w:rFonts w:ascii="Arial" w:hAnsi="Arial" w:cs="Arial"/>
          <w:color w:val="212121"/>
          <w:shd w:val="clear" w:color="auto" w:fill="FFFFFF"/>
        </w:rPr>
      </w:pPr>
      <w:r>
        <w:rPr>
          <w:rFonts w:ascii="Arial" w:hAnsi="Arial" w:cs="Arial"/>
          <w:i/>
          <w:iCs/>
          <w:color w:val="212121"/>
          <w:shd w:val="clear" w:color="auto" w:fill="FFFFFF"/>
        </w:rPr>
        <w:t>B        Blanket assent</w:t>
      </w:r>
    </w:p>
    <w:p w14:paraId="1A422820" w14:textId="77777777" w:rsidR="00CC7EB4" w:rsidRPr="00BB49ED" w:rsidRDefault="00CC7EB4" w:rsidP="00CC7EB4">
      <w:pPr>
        <w:spacing w:after="160" w:line="360" w:lineRule="auto"/>
        <w:jc w:val="both"/>
        <w:rPr>
          <w:rFonts w:ascii="Arial" w:hAnsi="Arial" w:cs="Arial"/>
          <w:color w:val="212121"/>
          <w:shd w:val="clear" w:color="auto" w:fill="FFFFFF"/>
        </w:rPr>
      </w:pPr>
      <w:r>
        <w:rPr>
          <w:rFonts w:ascii="Arial" w:hAnsi="Arial" w:cs="Arial"/>
          <w:color w:val="212121"/>
          <w:shd w:val="clear" w:color="auto" w:fill="FFFFFF"/>
        </w:rPr>
        <w:t>At the very best, it can be said that New Zealand’s unfair contract term regime pays respect to consent in line with Karl Llewelyn’s “blanket assent” model.</w:t>
      </w:r>
      <w:r>
        <w:rPr>
          <w:rStyle w:val="FootnoteReference"/>
          <w:rFonts w:ascii="Arial" w:hAnsi="Arial" w:cs="Arial"/>
          <w:color w:val="212121"/>
          <w:shd w:val="clear" w:color="auto" w:fill="FFFFFF"/>
        </w:rPr>
        <w:footnoteReference w:id="168"/>
      </w:r>
      <w:r>
        <w:rPr>
          <w:rFonts w:ascii="Arial" w:hAnsi="Arial" w:cs="Arial"/>
          <w:color w:val="212121"/>
          <w:shd w:val="clear" w:color="auto" w:fill="FFFFFF"/>
        </w:rPr>
        <w:t xml:space="preserve"> Blanket assent, according to Llewelyn, is an implicit form of consent given by the consumer to all terms as long as they are not unreasonable or indecent.</w:t>
      </w:r>
      <w:r>
        <w:rPr>
          <w:rStyle w:val="FootnoteReference"/>
          <w:rFonts w:ascii="Arial" w:hAnsi="Arial" w:cs="Arial"/>
          <w:color w:val="212121"/>
          <w:shd w:val="clear" w:color="auto" w:fill="FFFFFF"/>
        </w:rPr>
        <w:footnoteReference w:id="169"/>
      </w:r>
      <w:r>
        <w:rPr>
          <w:rFonts w:ascii="Arial" w:hAnsi="Arial" w:cs="Arial"/>
          <w:color w:val="212121"/>
          <w:shd w:val="clear" w:color="auto" w:fill="FFFFFF"/>
        </w:rPr>
        <w:t xml:space="preserve"> This form of consent, according to Llewelyn, reflects the reality of standard form contract, in which “so far as </w:t>
      </w:r>
      <w:r>
        <w:rPr>
          <w:rFonts w:ascii="Arial" w:hAnsi="Arial" w:cs="Arial"/>
          <w:color w:val="212121"/>
          <w:shd w:val="clear" w:color="auto" w:fill="FFFFFF"/>
        </w:rPr>
        <w:lastRenderedPageBreak/>
        <w:t>concerns the specific, there is no assent at all.”</w:t>
      </w:r>
      <w:r>
        <w:rPr>
          <w:rStyle w:val="FootnoteReference"/>
          <w:rFonts w:ascii="Arial" w:hAnsi="Arial" w:cs="Arial"/>
          <w:color w:val="212121"/>
          <w:shd w:val="clear" w:color="auto" w:fill="FFFFFF"/>
        </w:rPr>
        <w:footnoteReference w:id="170"/>
      </w:r>
      <w:r>
        <w:rPr>
          <w:rFonts w:ascii="Arial" w:hAnsi="Arial" w:cs="Arial"/>
          <w:color w:val="212121"/>
          <w:shd w:val="clear" w:color="auto" w:fill="FFFFFF"/>
        </w:rPr>
        <w:t xml:space="preserve"> New Zealand’s unfair contract terms regime closely shadows this model by upholding the presumed blanket assent of the consumer to standard form contracts, as long as the terms are not unfair. Indeed, the unfair contract terms regime further follows this model by ensuring that the main subject matter of a contract and the upfront price payable under the contract are non-justiciable: i.e., not able to be declared as an unfair term.</w:t>
      </w:r>
      <w:r>
        <w:rPr>
          <w:rStyle w:val="FootnoteReference"/>
          <w:rFonts w:ascii="Arial" w:hAnsi="Arial" w:cs="Arial"/>
          <w:color w:val="212121"/>
          <w:shd w:val="clear" w:color="auto" w:fill="FFFFFF"/>
        </w:rPr>
        <w:footnoteReference w:id="171"/>
      </w:r>
      <w:r>
        <w:rPr>
          <w:rFonts w:ascii="Arial" w:hAnsi="Arial" w:cs="Arial"/>
          <w:color w:val="212121"/>
          <w:shd w:val="clear" w:color="auto" w:fill="FFFFFF"/>
        </w:rPr>
        <w:t xml:space="preserve"> This reflects the fact, recognised by Llewelyn, that some terms are negotiated or “dickered”, and that consumers generally heed terms relating to the price and subject matter of the contract.</w:t>
      </w:r>
      <w:r>
        <w:rPr>
          <w:rStyle w:val="FootnoteReference"/>
          <w:rFonts w:ascii="Arial" w:hAnsi="Arial" w:cs="Arial"/>
          <w:color w:val="212121"/>
          <w:shd w:val="clear" w:color="auto" w:fill="FFFFFF"/>
        </w:rPr>
        <w:footnoteReference w:id="172"/>
      </w:r>
      <w:r>
        <w:rPr>
          <w:rFonts w:ascii="Arial" w:hAnsi="Arial" w:cs="Arial"/>
          <w:color w:val="212121"/>
          <w:shd w:val="clear" w:color="auto" w:fill="FFFFFF"/>
        </w:rPr>
        <w:t xml:space="preserve"> Even this assumption has proved to be particularly controversial. In </w:t>
      </w:r>
      <w:r>
        <w:rPr>
          <w:rFonts w:ascii="Arial" w:hAnsi="Arial" w:cs="Arial"/>
          <w:i/>
          <w:iCs/>
          <w:color w:val="212121"/>
          <w:shd w:val="clear" w:color="auto" w:fill="FFFFFF"/>
        </w:rPr>
        <w:t xml:space="preserve">Office of Fair Trading v Abbey National Plc, </w:t>
      </w:r>
      <w:r>
        <w:rPr>
          <w:rFonts w:ascii="Arial" w:hAnsi="Arial" w:cs="Arial"/>
          <w:color w:val="212121"/>
          <w:shd w:val="clear" w:color="auto" w:fill="FFFFFF"/>
        </w:rPr>
        <w:t>overdraft bank fees were found to be outside the scope of the United Kingdom Unfair Terms in Consumer Contracts Regulations 1999 on the basis that the fees formed part of the price under the contract.</w:t>
      </w:r>
      <w:r>
        <w:rPr>
          <w:rStyle w:val="FootnoteReference"/>
          <w:rFonts w:ascii="Arial" w:hAnsi="Arial" w:cs="Arial"/>
          <w:color w:val="212121"/>
          <w:shd w:val="clear" w:color="auto" w:fill="FFFFFF"/>
        </w:rPr>
        <w:footnoteReference w:id="173"/>
      </w:r>
      <w:r>
        <w:rPr>
          <w:rFonts w:ascii="Arial" w:hAnsi="Arial" w:cs="Arial"/>
          <w:color w:val="212121"/>
          <w:shd w:val="clear" w:color="auto" w:fill="FFFFFF"/>
        </w:rPr>
        <w:t xml:space="preserve"> These fees were (and are) significant to the point of comprising a near majority of most bank’s profits.</w:t>
      </w:r>
      <w:r>
        <w:rPr>
          <w:rStyle w:val="FootnoteReference"/>
          <w:rFonts w:ascii="Arial" w:hAnsi="Arial" w:cs="Arial"/>
          <w:color w:val="212121"/>
          <w:shd w:val="clear" w:color="auto" w:fill="FFFFFF"/>
        </w:rPr>
        <w:footnoteReference w:id="174"/>
      </w:r>
      <w:r>
        <w:rPr>
          <w:rFonts w:ascii="Arial" w:hAnsi="Arial" w:cs="Arial"/>
          <w:color w:val="212121"/>
          <w:shd w:val="clear" w:color="auto" w:fill="FFFFFF"/>
        </w:rPr>
        <w:t xml:space="preserve"> The problem with the non-justiciability of these fees is that they are often non-transparent and complex, meaning that they elude the consumer (and escape their consent) at the time of the transaction.</w:t>
      </w:r>
      <w:r>
        <w:rPr>
          <w:rStyle w:val="FootnoteReference"/>
          <w:rFonts w:ascii="Arial" w:hAnsi="Arial" w:cs="Arial"/>
          <w:color w:val="212121"/>
          <w:shd w:val="clear" w:color="auto" w:fill="FFFFFF"/>
        </w:rPr>
        <w:footnoteReference w:id="175"/>
      </w:r>
      <w:r>
        <w:rPr>
          <w:rFonts w:ascii="Arial" w:hAnsi="Arial" w:cs="Arial"/>
          <w:color w:val="212121"/>
          <w:shd w:val="clear" w:color="auto" w:fill="FFFFFF"/>
        </w:rPr>
        <w:t xml:space="preserve"> Thus, as Joseph Spooner persuasively argues, firms are incentivised to offer low headline prices while simultaneously raising revenues through “shrouded costs holding legal formalisation as untouchable prices.”</w:t>
      </w:r>
      <w:r>
        <w:rPr>
          <w:rStyle w:val="FootnoteReference"/>
          <w:rFonts w:ascii="Arial" w:hAnsi="Arial" w:cs="Arial"/>
          <w:color w:val="212121"/>
          <w:shd w:val="clear" w:color="auto" w:fill="FFFFFF"/>
        </w:rPr>
        <w:footnoteReference w:id="176"/>
      </w:r>
      <w:r>
        <w:rPr>
          <w:rFonts w:ascii="Arial" w:hAnsi="Arial" w:cs="Arial"/>
          <w:color w:val="212121"/>
          <w:shd w:val="clear" w:color="auto" w:fill="FFFFFF"/>
        </w:rPr>
        <w:t xml:space="preserve"> </w:t>
      </w:r>
    </w:p>
    <w:p w14:paraId="770A072C" w14:textId="77777777" w:rsidR="00CC7EB4" w:rsidRPr="002B0F02" w:rsidRDefault="00CC7EB4" w:rsidP="00CC7EB4">
      <w:pPr>
        <w:spacing w:after="160" w:line="360" w:lineRule="auto"/>
        <w:jc w:val="both"/>
        <w:rPr>
          <w:rFonts w:ascii="Arial" w:hAnsi="Arial" w:cs="Arial"/>
          <w:color w:val="212121"/>
          <w:shd w:val="clear" w:color="auto" w:fill="FFFFFF"/>
        </w:rPr>
      </w:pPr>
      <w:r>
        <w:rPr>
          <w:rFonts w:ascii="Arial" w:hAnsi="Arial" w:cs="Arial"/>
          <w:color w:val="212121"/>
          <w:shd w:val="clear" w:color="auto" w:fill="FFFFFF"/>
        </w:rPr>
        <w:t>Another problem with New Zealand’s unfair contract terms regime is that it lacks any sense of inventiveness. For example, Todd Rakoff agreed with Llewelyn’s premise, that the consumer is typically concerned only with dickered terms.</w:t>
      </w:r>
      <w:r>
        <w:rPr>
          <w:rStyle w:val="FootnoteReference"/>
          <w:rFonts w:ascii="Arial" w:hAnsi="Arial" w:cs="Arial"/>
          <w:color w:val="212121"/>
          <w:shd w:val="clear" w:color="auto" w:fill="FFFFFF"/>
        </w:rPr>
        <w:footnoteReference w:id="177"/>
      </w:r>
      <w:r>
        <w:rPr>
          <w:rFonts w:ascii="Arial" w:hAnsi="Arial" w:cs="Arial"/>
          <w:color w:val="212121"/>
          <w:shd w:val="clear" w:color="auto" w:fill="FFFFFF"/>
        </w:rPr>
        <w:t xml:space="preserve"> Rakoff proposed a consent-based approach to the enforceability of standard form contract by arguing that non-dickered terms (non-negotiated terms) should be presumptively unenforceable.</w:t>
      </w:r>
      <w:r>
        <w:rPr>
          <w:rStyle w:val="FootnoteReference"/>
          <w:rFonts w:ascii="Arial" w:hAnsi="Arial" w:cs="Arial"/>
          <w:color w:val="212121"/>
          <w:shd w:val="clear" w:color="auto" w:fill="FFFFFF"/>
        </w:rPr>
        <w:footnoteReference w:id="178"/>
      </w:r>
      <w:r>
        <w:rPr>
          <w:rFonts w:ascii="Arial" w:hAnsi="Arial" w:cs="Arial"/>
          <w:color w:val="212121"/>
          <w:shd w:val="clear" w:color="auto" w:fill="FFFFFF"/>
        </w:rPr>
        <w:t xml:space="preserve"> Done this way, the content of a standard form contract would more readily reflect the consent of the consumer. Section 46M of the Fair Trading Act sets out examples of terms that may be unfair contract terms. However, these terms only </w:t>
      </w:r>
      <w:r>
        <w:rPr>
          <w:rFonts w:ascii="Arial" w:hAnsi="Arial" w:cs="Arial"/>
          <w:color w:val="212121"/>
          <w:shd w:val="clear" w:color="auto" w:fill="FFFFFF"/>
        </w:rPr>
        <w:lastRenderedPageBreak/>
        <w:t>“may be” unfair, and there is no rebuttable presumption of them being unfair, even though this would provide greater consumer protection and reflect the realities of consent.</w:t>
      </w:r>
      <w:r>
        <w:rPr>
          <w:rStyle w:val="FootnoteReference"/>
          <w:rFonts w:ascii="Arial" w:hAnsi="Arial" w:cs="Arial"/>
          <w:color w:val="212121"/>
          <w:shd w:val="clear" w:color="auto" w:fill="FFFFFF"/>
        </w:rPr>
        <w:footnoteReference w:id="179"/>
      </w:r>
      <w:r>
        <w:rPr>
          <w:rFonts w:ascii="Arial" w:hAnsi="Arial" w:cs="Arial"/>
          <w:color w:val="212121"/>
          <w:shd w:val="clear" w:color="auto" w:fill="FFFFFF"/>
        </w:rPr>
        <w:t xml:space="preserve"> In conclusion, the current legislative framework remains deficient and largely unresponsive to the realities of standard form contracting. Transparency is not required and the non-justiciability of price and subject matter has proved to be based on a fictional premise.</w:t>
      </w:r>
      <w:r>
        <w:rPr>
          <w:rStyle w:val="FootnoteReference"/>
          <w:rFonts w:ascii="Arial" w:hAnsi="Arial" w:cs="Arial"/>
          <w:color w:val="212121"/>
          <w:shd w:val="clear" w:color="auto" w:fill="FFFFFF"/>
        </w:rPr>
        <w:footnoteReference w:id="180"/>
      </w:r>
    </w:p>
    <w:p w14:paraId="56C221FD" w14:textId="77777777" w:rsidR="00CC7EB4" w:rsidRDefault="00CC7EB4" w:rsidP="00CC7EB4">
      <w:pPr>
        <w:spacing w:after="160" w:line="360" w:lineRule="auto"/>
        <w:jc w:val="center"/>
        <w:rPr>
          <w:rFonts w:ascii="Arial" w:hAnsi="Arial" w:cs="Arial"/>
          <w:b/>
          <w:bCs/>
          <w:sz w:val="28"/>
          <w:szCs w:val="28"/>
        </w:rPr>
      </w:pPr>
      <w:r w:rsidRPr="002E2CA8">
        <w:rPr>
          <w:rFonts w:ascii="Arial" w:hAnsi="Arial" w:cs="Arial"/>
          <w:b/>
          <w:bCs/>
          <w:sz w:val="28"/>
          <w:szCs w:val="28"/>
        </w:rPr>
        <w:t>CHAPTER THREE: THE MYTH OF CONSENT</w:t>
      </w:r>
    </w:p>
    <w:p w14:paraId="709EBC40" w14:textId="77777777" w:rsidR="00CC7EB4" w:rsidRPr="00856331" w:rsidRDefault="00CC7EB4" w:rsidP="00CC7EB4">
      <w:pPr>
        <w:spacing w:after="160" w:line="360" w:lineRule="auto"/>
        <w:jc w:val="center"/>
        <w:rPr>
          <w:rFonts w:ascii="Arial" w:hAnsi="Arial" w:cs="Arial"/>
          <w:sz w:val="22"/>
          <w:szCs w:val="22"/>
        </w:rPr>
      </w:pPr>
      <w:r w:rsidRPr="00856331">
        <w:rPr>
          <w:rFonts w:ascii="Arial" w:hAnsi="Arial" w:cs="Arial"/>
          <w:sz w:val="22"/>
          <w:szCs w:val="22"/>
        </w:rPr>
        <w:t>“No customer in a thousand ever read the conditions. If he had stopped to do so, he would have missed the boat.”</w:t>
      </w:r>
      <w:r>
        <w:rPr>
          <w:rStyle w:val="FootnoteReference"/>
          <w:rFonts w:ascii="Arial" w:hAnsi="Arial" w:cs="Arial"/>
          <w:sz w:val="22"/>
          <w:szCs w:val="22"/>
        </w:rPr>
        <w:footnoteReference w:id="181"/>
      </w:r>
    </w:p>
    <w:p w14:paraId="14A8DF2F" w14:textId="77777777" w:rsidR="00CC7EB4" w:rsidRPr="002E2CA8" w:rsidRDefault="00CC7EB4" w:rsidP="00CC7EB4">
      <w:pPr>
        <w:spacing w:after="160" w:line="360" w:lineRule="auto"/>
        <w:jc w:val="both"/>
        <w:rPr>
          <w:rFonts w:ascii="Arial" w:hAnsi="Arial" w:cs="Arial"/>
        </w:rPr>
      </w:pPr>
      <w:r>
        <w:rPr>
          <w:rFonts w:ascii="Arial" w:hAnsi="Arial" w:cs="Arial"/>
        </w:rPr>
        <w:t>Contract law presupposes that consent is vital to the bindingness of contract. In fact, consent is seen as so important as to be a necessary condition of contract formation.</w:t>
      </w:r>
      <w:r>
        <w:rPr>
          <w:rStyle w:val="FootnoteReference"/>
          <w:rFonts w:ascii="Arial" w:hAnsi="Arial" w:cs="Arial"/>
        </w:rPr>
        <w:footnoteReference w:id="182"/>
      </w:r>
      <w:r>
        <w:rPr>
          <w:rFonts w:ascii="Arial" w:hAnsi="Arial" w:cs="Arial"/>
        </w:rPr>
        <w:t xml:space="preserve"> However, as I and many before me argue, the concept of consent falls desperately short in most contracts and is particularly fictional when applied to standard form contracts. Notwithstanding this failure, standard form contracts are, for the most part, upheld as legally binding contracts. This Chapter does not purport to engage in a doctrinal analysis. Nor does it attempt to reconcile the gap between standard form contract and traditional contract law theory. Rather, it points out the dearth - or perhaps death - of consent to standard form contracts and the unfortunate effect this has on the rights and obligations of consumers. This Chapter also questions the informed minority hypothesis, the idea that only the informed consent of a few is needed to keep contracts fair.</w:t>
      </w:r>
      <w:r>
        <w:rPr>
          <w:rStyle w:val="FootnoteReference"/>
          <w:rFonts w:ascii="Arial" w:hAnsi="Arial" w:cs="Arial"/>
        </w:rPr>
        <w:footnoteReference w:id="183"/>
      </w:r>
    </w:p>
    <w:p w14:paraId="2D86D22F" w14:textId="77777777" w:rsidR="00CC7EB4" w:rsidRDefault="00CC7EB4" w:rsidP="00CC7EB4">
      <w:pPr>
        <w:spacing w:after="160" w:line="360" w:lineRule="auto"/>
        <w:jc w:val="both"/>
        <w:rPr>
          <w:rFonts w:ascii="Arial" w:hAnsi="Arial" w:cs="Arial"/>
          <w:i/>
          <w:iCs/>
          <w:sz w:val="28"/>
          <w:szCs w:val="28"/>
        </w:rPr>
      </w:pPr>
      <w:r w:rsidRPr="00EB033C">
        <w:rPr>
          <w:rFonts w:ascii="Arial" w:hAnsi="Arial" w:cs="Arial"/>
          <w:i/>
          <w:iCs/>
          <w:sz w:val="28"/>
          <w:szCs w:val="28"/>
        </w:rPr>
        <w:t>I</w:t>
      </w:r>
      <w:r>
        <w:rPr>
          <w:rFonts w:ascii="Arial" w:hAnsi="Arial" w:cs="Arial"/>
          <w:i/>
          <w:iCs/>
          <w:sz w:val="28"/>
          <w:szCs w:val="28"/>
        </w:rPr>
        <w:t xml:space="preserve">        Consent</w:t>
      </w:r>
    </w:p>
    <w:p w14:paraId="283A3330" w14:textId="77777777" w:rsidR="00CC7EB4" w:rsidRDefault="00CC7EB4" w:rsidP="00CC7EB4">
      <w:pPr>
        <w:spacing w:after="160" w:line="360" w:lineRule="auto"/>
        <w:jc w:val="both"/>
        <w:rPr>
          <w:rFonts w:ascii="Arial" w:hAnsi="Arial" w:cs="Arial"/>
        </w:rPr>
      </w:pPr>
      <w:r>
        <w:rPr>
          <w:rFonts w:ascii="Arial" w:hAnsi="Arial" w:cs="Arial"/>
        </w:rPr>
        <w:t>Consent is a nebulous and contested concept.</w:t>
      </w:r>
      <w:r>
        <w:rPr>
          <w:rStyle w:val="FootnoteReference"/>
          <w:rFonts w:ascii="Arial" w:hAnsi="Arial" w:cs="Arial"/>
        </w:rPr>
        <w:footnoteReference w:id="184"/>
      </w:r>
      <w:r>
        <w:rPr>
          <w:rFonts w:ascii="Arial" w:hAnsi="Arial" w:cs="Arial"/>
        </w:rPr>
        <w:t xml:space="preserve"> Oxford Dictionaries defines consent as the “voluntary agreement to a proposal, request, demand etc.”</w:t>
      </w:r>
      <w:r>
        <w:rPr>
          <w:rStyle w:val="FootnoteReference"/>
          <w:rFonts w:ascii="Arial" w:hAnsi="Arial" w:cs="Arial"/>
        </w:rPr>
        <w:footnoteReference w:id="185"/>
      </w:r>
      <w:r>
        <w:rPr>
          <w:rFonts w:ascii="Arial" w:hAnsi="Arial" w:cs="Arial"/>
        </w:rPr>
        <w:t xml:space="preserve"> However, as the </w:t>
      </w:r>
      <w:r>
        <w:rPr>
          <w:rFonts w:ascii="Arial" w:hAnsi="Arial" w:cs="Arial"/>
          <w:i/>
          <w:iCs/>
        </w:rPr>
        <w:lastRenderedPageBreak/>
        <w:t xml:space="preserve">ASIC v Kobelt </w:t>
      </w:r>
      <w:r>
        <w:rPr>
          <w:rFonts w:ascii="Arial" w:hAnsi="Arial" w:cs="Arial"/>
        </w:rPr>
        <w:t>case illustrates, voluntariness does not necessarily equal true consent. Consent requires autonomy, which was undermined in the case by the lack of literacy and financial experience of the customers. Chunlin Leonhard considers that informed consent is only achieved if the parties have free will, information, and comprehension.</w:t>
      </w:r>
      <w:r>
        <w:rPr>
          <w:rStyle w:val="FootnoteReference"/>
          <w:rFonts w:ascii="Arial" w:hAnsi="Arial" w:cs="Arial"/>
        </w:rPr>
        <w:footnoteReference w:id="186"/>
      </w:r>
      <w:r>
        <w:rPr>
          <w:rFonts w:ascii="Arial" w:hAnsi="Arial" w:cs="Arial"/>
        </w:rPr>
        <w:t xml:space="preserve"> Complicating the picture is the fact that the human-decision making process is easily manipulated.</w:t>
      </w:r>
      <w:r>
        <w:rPr>
          <w:rStyle w:val="FootnoteReference"/>
          <w:rFonts w:ascii="Arial" w:hAnsi="Arial" w:cs="Arial"/>
        </w:rPr>
        <w:footnoteReference w:id="187"/>
      </w:r>
      <w:r>
        <w:rPr>
          <w:rFonts w:ascii="Arial" w:hAnsi="Arial" w:cs="Arial"/>
        </w:rPr>
        <w:t xml:space="preserve"> Behavioural economists find an array of biases which people suffer from, including the fact that we think everything will work out and that we often do not make decisions based on best evidence.</w:t>
      </w:r>
      <w:r>
        <w:rPr>
          <w:rStyle w:val="FootnoteReference"/>
          <w:rFonts w:ascii="Arial" w:hAnsi="Arial" w:cs="Arial"/>
        </w:rPr>
        <w:footnoteReference w:id="188"/>
      </w:r>
      <w:r>
        <w:rPr>
          <w:rFonts w:ascii="Arial" w:hAnsi="Arial" w:cs="Arial"/>
        </w:rPr>
        <w:t xml:space="preserve"> Overall, we are a far cry from the “rational” creatures which the free-market thinkers would have us believe.</w:t>
      </w:r>
      <w:r>
        <w:rPr>
          <w:rStyle w:val="FootnoteReference"/>
          <w:rFonts w:ascii="Arial" w:hAnsi="Arial" w:cs="Arial"/>
        </w:rPr>
        <w:footnoteReference w:id="189"/>
      </w:r>
      <w:r>
        <w:rPr>
          <w:rFonts w:ascii="Arial" w:hAnsi="Arial" w:cs="Arial"/>
        </w:rPr>
        <w:t xml:space="preserve"> The reality is that our decisions are very seldom free from outside influences.</w:t>
      </w:r>
      <w:r>
        <w:rPr>
          <w:rStyle w:val="FootnoteReference"/>
          <w:rFonts w:ascii="Arial" w:hAnsi="Arial" w:cs="Arial"/>
        </w:rPr>
        <w:footnoteReference w:id="190"/>
      </w:r>
    </w:p>
    <w:p w14:paraId="5BCA714F" w14:textId="77777777" w:rsidR="00CC7EB4" w:rsidRDefault="00CC7EB4" w:rsidP="00CC7EB4">
      <w:pPr>
        <w:spacing w:after="160" w:line="360" w:lineRule="auto"/>
        <w:jc w:val="both"/>
        <w:rPr>
          <w:rFonts w:ascii="Arial" w:hAnsi="Arial" w:cs="Arial"/>
        </w:rPr>
      </w:pPr>
      <w:r>
        <w:rPr>
          <w:rFonts w:ascii="Arial" w:hAnsi="Arial" w:cs="Arial"/>
        </w:rPr>
        <w:t>If our consent to standard form contracts is so sparse as to be relatively worthless, how do these contracts bind us? The frank answer is that inadequate attention has been paid to the importance of consent. Rob Nicholls claims that “this essential element of contract theory has been abandoned”</w:t>
      </w:r>
      <w:r>
        <w:rPr>
          <w:rStyle w:val="FootnoteReference"/>
          <w:rFonts w:ascii="Arial" w:hAnsi="Arial" w:cs="Arial"/>
        </w:rPr>
        <w:footnoteReference w:id="191"/>
      </w:r>
      <w:r>
        <w:rPr>
          <w:rFonts w:ascii="Arial" w:hAnsi="Arial" w:cs="Arial"/>
        </w:rPr>
        <w:t xml:space="preserve"> while Orit Gan claims that courts have “significant difficulties in describing, identifying, and examining consent.”</w:t>
      </w:r>
      <w:r>
        <w:rPr>
          <w:rStyle w:val="FootnoteReference"/>
          <w:rFonts w:ascii="Arial" w:hAnsi="Arial" w:cs="Arial"/>
        </w:rPr>
        <w:footnoteReference w:id="192"/>
      </w:r>
      <w:r>
        <w:rPr>
          <w:rFonts w:ascii="Arial" w:hAnsi="Arial" w:cs="Arial"/>
        </w:rPr>
        <w:t xml:space="preserve"> Accordingly, courts treat standard form contracts in a manner akin to the “bespoke contract” by looking for black and white consent even though consent is far more complex.</w:t>
      </w:r>
      <w:r>
        <w:rPr>
          <w:rStyle w:val="FootnoteReference"/>
          <w:rFonts w:ascii="Arial" w:hAnsi="Arial" w:cs="Arial"/>
        </w:rPr>
        <w:footnoteReference w:id="193"/>
      </w:r>
      <w:r>
        <w:rPr>
          <w:rFonts w:ascii="Arial" w:hAnsi="Arial" w:cs="Arial"/>
        </w:rPr>
        <w:t xml:space="preserve"> Standard form contracts therefore leave us with a conundrum. If consent is lacking, then these contracts ought to be struck down.</w:t>
      </w:r>
      <w:r>
        <w:rPr>
          <w:rStyle w:val="FootnoteReference"/>
          <w:rFonts w:ascii="Arial" w:hAnsi="Arial" w:cs="Arial"/>
        </w:rPr>
        <w:footnoteReference w:id="194"/>
      </w:r>
      <w:r>
        <w:rPr>
          <w:rFonts w:ascii="Arial" w:hAnsi="Arial" w:cs="Arial"/>
        </w:rPr>
        <w:t xml:space="preserve"> But by continuing to uphold such contracts, we are damaging the legitimacy of contract law and making it increasingly consumer-unfriendly. </w:t>
      </w:r>
    </w:p>
    <w:p w14:paraId="0069B85F" w14:textId="77777777" w:rsidR="00CC7EB4" w:rsidRPr="00555F23" w:rsidRDefault="00CC7EB4" w:rsidP="00CC7EB4">
      <w:pPr>
        <w:spacing w:after="160" w:line="360" w:lineRule="auto"/>
        <w:jc w:val="both"/>
        <w:rPr>
          <w:rFonts w:ascii="Arial" w:hAnsi="Arial" w:cs="Arial"/>
        </w:rPr>
      </w:pPr>
      <w:r>
        <w:rPr>
          <w:rFonts w:ascii="Arial" w:hAnsi="Arial" w:cs="Arial"/>
        </w:rPr>
        <w:t>Some within the law and economics school have proffered what they believe to be a practical solution to the lack of consent to standard form contracts.</w:t>
      </w:r>
      <w:r>
        <w:rPr>
          <w:rStyle w:val="FootnoteReference"/>
          <w:rFonts w:ascii="Arial" w:hAnsi="Arial" w:cs="Arial"/>
        </w:rPr>
        <w:footnoteReference w:id="195"/>
      </w:r>
      <w:r>
        <w:rPr>
          <w:rFonts w:ascii="Arial" w:hAnsi="Arial" w:cs="Arial"/>
        </w:rPr>
        <w:t xml:space="preserve"> They argue that the consent of every consumer does not matter much (in the big picture) because an informed minority of consumers will be sufficiently sensitive to terms and conditions so </w:t>
      </w:r>
      <w:r>
        <w:rPr>
          <w:rFonts w:ascii="Arial" w:hAnsi="Arial" w:cs="Arial"/>
        </w:rPr>
        <w:lastRenderedPageBreak/>
        <w:t>as to factor it into their willingness to pay.</w:t>
      </w:r>
      <w:r>
        <w:rPr>
          <w:rStyle w:val="FootnoteReference"/>
          <w:rFonts w:ascii="Arial" w:hAnsi="Arial" w:cs="Arial"/>
        </w:rPr>
        <w:footnoteReference w:id="196"/>
      </w:r>
      <w:r>
        <w:rPr>
          <w:rFonts w:ascii="Arial" w:hAnsi="Arial" w:cs="Arial"/>
        </w:rPr>
        <w:t xml:space="preserve"> Since the seller cannot differentiate between the reader and the non-reader, it will offer terms to all consumers on a favourable basis.</w:t>
      </w:r>
      <w:r>
        <w:rPr>
          <w:rStyle w:val="FootnoteReference"/>
          <w:rFonts w:ascii="Arial" w:hAnsi="Arial" w:cs="Arial"/>
        </w:rPr>
        <w:footnoteReference w:id="197"/>
      </w:r>
      <w:r>
        <w:rPr>
          <w:rFonts w:ascii="Arial" w:hAnsi="Arial" w:cs="Arial"/>
        </w:rPr>
        <w:t xml:space="preserve"> In conclusion, therefore, the reading consumer acts as a check on corporate power and ensures that terms are fair. However, the “informed minority” hypothesis falls flat when considering the paucity of reading consumers. Bakos et al, for example, find that a mere 0.2 percent of consumers read contracts (and only for at least one second).</w:t>
      </w:r>
      <w:r>
        <w:rPr>
          <w:rStyle w:val="FootnoteReference"/>
          <w:rFonts w:ascii="Arial" w:hAnsi="Arial" w:cs="Arial"/>
        </w:rPr>
        <w:footnoteReference w:id="198"/>
      </w:r>
      <w:r>
        <w:rPr>
          <w:rFonts w:ascii="Arial" w:hAnsi="Arial" w:cs="Arial"/>
        </w:rPr>
        <w:t xml:space="preserve"> And even if the informed minority hypothesis held true, whether businesses would tailor their contracts to be friendly to the reading consumer is debatable. As the next section elucidates, the standard form contract is taking on an increasingly ‘unfriendly’ face, in which it can manipulate consent and readily influence consumer decision-making. </w:t>
      </w:r>
    </w:p>
    <w:p w14:paraId="72D2D1BA" w14:textId="77777777" w:rsidR="00CC7EB4" w:rsidRDefault="00CC7EB4" w:rsidP="00CC7EB4">
      <w:pPr>
        <w:spacing w:after="160" w:line="360" w:lineRule="auto"/>
        <w:jc w:val="both"/>
        <w:rPr>
          <w:rFonts w:ascii="Arial" w:hAnsi="Arial" w:cs="Arial"/>
          <w:i/>
          <w:iCs/>
          <w:sz w:val="28"/>
          <w:szCs w:val="28"/>
        </w:rPr>
      </w:pPr>
      <w:r w:rsidRPr="008C2D75">
        <w:rPr>
          <w:rFonts w:ascii="Arial" w:hAnsi="Arial" w:cs="Arial"/>
          <w:i/>
          <w:iCs/>
          <w:sz w:val="28"/>
          <w:szCs w:val="28"/>
        </w:rPr>
        <w:t>II</w:t>
      </w:r>
      <w:r>
        <w:rPr>
          <w:rFonts w:ascii="Arial" w:hAnsi="Arial" w:cs="Arial"/>
          <w:i/>
          <w:iCs/>
          <w:sz w:val="28"/>
          <w:szCs w:val="28"/>
        </w:rPr>
        <w:t xml:space="preserve">        The increasing unfriendliness of contract</w:t>
      </w:r>
    </w:p>
    <w:p w14:paraId="1CC4B5C6" w14:textId="77777777" w:rsidR="00CC7EB4" w:rsidRDefault="00CC7EB4" w:rsidP="00CC7EB4">
      <w:pPr>
        <w:spacing w:after="160" w:line="360" w:lineRule="auto"/>
        <w:jc w:val="both"/>
        <w:rPr>
          <w:rFonts w:ascii="Arial" w:hAnsi="Arial" w:cs="Arial"/>
        </w:rPr>
      </w:pPr>
      <w:r>
        <w:rPr>
          <w:rFonts w:ascii="Arial" w:hAnsi="Arial" w:cs="Arial"/>
        </w:rPr>
        <w:t>Standard form contracts are now overwhelmingly online. The online space, along with increased efficiency, has exacerbated the consent problem of standard form contracts.</w:t>
      </w:r>
      <w:r>
        <w:rPr>
          <w:rStyle w:val="FootnoteReference"/>
          <w:rFonts w:ascii="Arial" w:hAnsi="Arial" w:cs="Arial"/>
        </w:rPr>
        <w:footnoteReference w:id="199"/>
      </w:r>
      <w:r>
        <w:rPr>
          <w:rFonts w:ascii="Arial" w:hAnsi="Arial" w:cs="Arial"/>
        </w:rPr>
        <w:t xml:space="preserve"> The presentation of a clickwrap form, for example, is quite different from the presentation of a “lengthy hard copy contract.”</w:t>
      </w:r>
      <w:r>
        <w:rPr>
          <w:rStyle w:val="FootnoteReference"/>
          <w:rFonts w:ascii="Arial" w:hAnsi="Arial" w:cs="Arial"/>
        </w:rPr>
        <w:footnoteReference w:id="200"/>
      </w:r>
      <w:r>
        <w:rPr>
          <w:rFonts w:ascii="Arial" w:hAnsi="Arial" w:cs="Arial"/>
        </w:rPr>
        <w:t xml:space="preserve"> The ease in which one can agree to a clickwrap contract makes it likely that less thought goes into the consequences of signing.</w:t>
      </w:r>
      <w:r>
        <w:rPr>
          <w:rStyle w:val="FootnoteReference"/>
          <w:rFonts w:ascii="Arial" w:hAnsi="Arial" w:cs="Arial"/>
        </w:rPr>
        <w:footnoteReference w:id="201"/>
      </w:r>
      <w:r>
        <w:rPr>
          <w:rFonts w:ascii="Arial" w:hAnsi="Arial" w:cs="Arial"/>
        </w:rPr>
        <w:t xml:space="preserve"> In addition to this psychological difference, online contract is now often crafted to prey on the biases and behaviour of the consumer.</w:t>
      </w:r>
      <w:r>
        <w:rPr>
          <w:rStyle w:val="FootnoteReference"/>
          <w:rFonts w:ascii="Arial" w:hAnsi="Arial" w:cs="Arial"/>
        </w:rPr>
        <w:footnoteReference w:id="202"/>
      </w:r>
      <w:r>
        <w:rPr>
          <w:rFonts w:ascii="Arial" w:hAnsi="Arial" w:cs="Arial"/>
        </w:rPr>
        <w:t xml:space="preserve"> These so-called “dark patterns” deliberately violate the design interface in order to “manipulate, exploit, or attack the user.”</w:t>
      </w:r>
      <w:r>
        <w:rPr>
          <w:rStyle w:val="FootnoteReference"/>
          <w:rFonts w:ascii="Arial" w:hAnsi="Arial" w:cs="Arial"/>
        </w:rPr>
        <w:footnoteReference w:id="203"/>
      </w:r>
    </w:p>
    <w:p w14:paraId="417E2FB1" w14:textId="77777777" w:rsidR="00CC7EB4" w:rsidRDefault="00CC7EB4" w:rsidP="00CC7EB4">
      <w:pPr>
        <w:spacing w:after="160" w:line="360" w:lineRule="auto"/>
        <w:jc w:val="both"/>
        <w:rPr>
          <w:rFonts w:ascii="Arial" w:hAnsi="Arial" w:cs="Arial"/>
        </w:rPr>
      </w:pPr>
      <w:r>
        <w:rPr>
          <w:rFonts w:ascii="Arial" w:hAnsi="Arial" w:cs="Arial"/>
        </w:rPr>
        <w:t>Dark patterns are rife in the online contracting space, with one recent article finding more than half of the most popular New Zealand websites to be unfairly manipulating visitors.</w:t>
      </w:r>
      <w:r>
        <w:rPr>
          <w:rStyle w:val="FootnoteReference"/>
          <w:rFonts w:ascii="Arial" w:hAnsi="Arial" w:cs="Arial"/>
        </w:rPr>
        <w:footnoteReference w:id="204"/>
      </w:r>
      <w:r>
        <w:rPr>
          <w:rFonts w:ascii="Arial" w:hAnsi="Arial" w:cs="Arial"/>
        </w:rPr>
        <w:t xml:space="preserve"> Many of these dark patterns are not directly present within the contracting process itself, and are instead ways of subtly pressuring the consumer into </w:t>
      </w:r>
      <w:r>
        <w:rPr>
          <w:rFonts w:ascii="Arial" w:hAnsi="Arial" w:cs="Arial"/>
        </w:rPr>
        <w:lastRenderedPageBreak/>
        <w:t>purchasing. A website may indicate the amount of items left in order to illustrate (whether true or not) the scarcity of the item, create a sense of urgency by putting a timer on the purchase, or simply put the terms and conditions at the very end of the transaction, by which point the consumer likely just wants to purchase the item.</w:t>
      </w:r>
      <w:r>
        <w:rPr>
          <w:rStyle w:val="FootnoteReference"/>
          <w:rFonts w:ascii="Arial" w:hAnsi="Arial" w:cs="Arial"/>
        </w:rPr>
        <w:footnoteReference w:id="205"/>
      </w:r>
      <w:r>
        <w:rPr>
          <w:rFonts w:ascii="Arial" w:hAnsi="Arial" w:cs="Arial"/>
        </w:rPr>
        <w:t xml:space="preserve"> A common dark pattern is the “roach motel” where the user finds it easy to subscribe to an online service, but incredibly difficult to opt out of the service.</w:t>
      </w:r>
      <w:r>
        <w:rPr>
          <w:rStyle w:val="FootnoteReference"/>
          <w:rFonts w:ascii="Arial" w:hAnsi="Arial" w:cs="Arial"/>
        </w:rPr>
        <w:footnoteReference w:id="206"/>
      </w:r>
      <w:r>
        <w:rPr>
          <w:rFonts w:ascii="Arial" w:hAnsi="Arial" w:cs="Arial"/>
        </w:rPr>
        <w:t xml:space="preserve"> Even though the consumer may no longer wish to be part of the service, they simply find it too difficult or time-consuming to go through with.</w:t>
      </w:r>
      <w:r>
        <w:rPr>
          <w:rStyle w:val="FootnoteReference"/>
          <w:rFonts w:ascii="Arial" w:hAnsi="Arial" w:cs="Arial"/>
        </w:rPr>
        <w:footnoteReference w:id="207"/>
      </w:r>
      <w:r>
        <w:rPr>
          <w:rFonts w:ascii="Arial" w:hAnsi="Arial" w:cs="Arial"/>
        </w:rPr>
        <w:t xml:space="preserve"> At the time of writing, this author cancelled their New Zealand Herald subscription. They had to log in on their laptop (as there was no option to unsubscribe through the phone application) and were then compelled to read two separate webpages of advertising, one labelled “don’t miss out on all the benefits of being a subscriber” and the other “before you decide to cancel, consider this offer.” Truth be told, this author wanted to cancel their subscription more than a few months ago: but like the archetypal consumer, just could not be bothered jumping through the (intentionally difficult) hoops.</w:t>
      </w:r>
    </w:p>
    <w:p w14:paraId="20F86D13" w14:textId="77777777" w:rsidR="00CC7EB4" w:rsidRPr="00E3474C" w:rsidRDefault="00CC7EB4" w:rsidP="00CC7EB4">
      <w:pPr>
        <w:spacing w:after="160" w:line="360" w:lineRule="auto"/>
        <w:jc w:val="both"/>
        <w:rPr>
          <w:rFonts w:ascii="Arial" w:hAnsi="Arial" w:cs="Arial"/>
        </w:rPr>
      </w:pPr>
      <w:r>
        <w:rPr>
          <w:rFonts w:ascii="Arial" w:hAnsi="Arial" w:cs="Arial"/>
        </w:rPr>
        <w:t>The intensity and implementation of dark patterns varies by website but they all share one commonality in that they exist to manipulate the consumer. They are also very successful at doing so. One empirical study, for example, showed that dark patterns nearly quadrupled the rate of purchasing a particular software product.</w:t>
      </w:r>
      <w:r>
        <w:rPr>
          <w:rStyle w:val="FootnoteReference"/>
          <w:rFonts w:ascii="Arial" w:hAnsi="Arial" w:cs="Arial"/>
        </w:rPr>
        <w:footnoteReference w:id="208"/>
      </w:r>
      <w:r>
        <w:rPr>
          <w:rFonts w:ascii="Arial" w:hAnsi="Arial" w:cs="Arial"/>
        </w:rPr>
        <w:t xml:space="preserve"> Moreover, dark patterns reveal the glaring flaws in New Zealand’s current legislative scheme. Dark patterns are not caught by the Unfair Contract Term Regime. They are also unlikely to be unconscionable. The end result is that consumer consent is being increasingly, to use the words of political economy, manufactured.</w:t>
      </w:r>
      <w:r>
        <w:rPr>
          <w:rStyle w:val="FootnoteReference"/>
          <w:rFonts w:ascii="Arial" w:hAnsi="Arial" w:cs="Arial"/>
        </w:rPr>
        <w:footnoteReference w:id="209"/>
      </w:r>
      <w:r>
        <w:rPr>
          <w:rFonts w:ascii="Arial" w:hAnsi="Arial" w:cs="Arial"/>
        </w:rPr>
        <w:t xml:space="preserve"> Legislative intervention also presents difficulties to this end as it raises the question of where we draw the line. Legitimate marketing cannot be prohibited, even though this aims to manipulate the consumer.</w:t>
      </w:r>
      <w:r>
        <w:rPr>
          <w:rStyle w:val="FootnoteReference"/>
          <w:rFonts w:ascii="Arial" w:hAnsi="Arial" w:cs="Arial"/>
        </w:rPr>
        <w:footnoteReference w:id="210"/>
      </w:r>
      <w:r>
        <w:rPr>
          <w:rFonts w:ascii="Arial" w:hAnsi="Arial" w:cs="Arial"/>
        </w:rPr>
        <w:t xml:space="preserve"> Therefore, even though consumer consent is manipulated </w:t>
      </w:r>
      <w:r>
        <w:rPr>
          <w:rFonts w:ascii="Arial" w:hAnsi="Arial" w:cs="Arial"/>
          <w:i/>
          <w:iCs/>
        </w:rPr>
        <w:t xml:space="preserve">en masse </w:t>
      </w:r>
      <w:r>
        <w:rPr>
          <w:rFonts w:ascii="Arial" w:hAnsi="Arial" w:cs="Arial"/>
        </w:rPr>
        <w:t>daily, there is little that the current law can do about it.</w:t>
      </w:r>
      <w:r>
        <w:rPr>
          <w:rStyle w:val="FootnoteReference"/>
          <w:rFonts w:ascii="Arial" w:hAnsi="Arial" w:cs="Arial"/>
        </w:rPr>
        <w:footnoteReference w:id="211"/>
      </w:r>
      <w:r>
        <w:rPr>
          <w:rFonts w:ascii="Arial" w:hAnsi="Arial" w:cs="Arial"/>
        </w:rPr>
        <w:t xml:space="preserve"> While </w:t>
      </w:r>
      <w:r>
        <w:rPr>
          <w:rFonts w:ascii="Arial" w:hAnsi="Arial" w:cs="Arial"/>
        </w:rPr>
        <w:lastRenderedPageBreak/>
        <w:t>a detailed exposition on dark patterns is outside the scope of this dissertation, the preceding passage quite readily shows that an enforceable contract is not as simple as “signature equals consent.”</w:t>
      </w:r>
    </w:p>
    <w:p w14:paraId="757D2839" w14:textId="77777777" w:rsidR="00CC7EB4" w:rsidRDefault="00CC7EB4" w:rsidP="00CC7EB4">
      <w:pPr>
        <w:spacing w:after="160" w:line="360" w:lineRule="auto"/>
        <w:jc w:val="center"/>
        <w:rPr>
          <w:rFonts w:ascii="Arial" w:hAnsi="Arial" w:cs="Arial"/>
          <w:b/>
          <w:bCs/>
          <w:sz w:val="28"/>
          <w:szCs w:val="28"/>
          <w:lang w:val="en-US"/>
        </w:rPr>
      </w:pPr>
      <w:r>
        <w:rPr>
          <w:rFonts w:ascii="Arial" w:hAnsi="Arial" w:cs="Arial"/>
          <w:b/>
          <w:bCs/>
          <w:sz w:val="28"/>
          <w:szCs w:val="28"/>
          <w:lang w:val="en-US"/>
        </w:rPr>
        <w:t>CHAPTER FOUR: IMPROVING CONSENT</w:t>
      </w:r>
    </w:p>
    <w:p w14:paraId="5D7D06FF" w14:textId="77777777" w:rsidR="00CC7EB4" w:rsidRPr="00771751" w:rsidRDefault="00CC7EB4" w:rsidP="00CC7EB4">
      <w:pPr>
        <w:spacing w:after="160" w:line="360" w:lineRule="auto"/>
        <w:jc w:val="center"/>
        <w:rPr>
          <w:rFonts w:ascii="Arial" w:hAnsi="Arial" w:cs="Arial"/>
          <w:sz w:val="20"/>
          <w:szCs w:val="20"/>
        </w:rPr>
      </w:pPr>
      <w:r w:rsidRPr="00C1067C">
        <w:rPr>
          <w:rFonts w:ascii="Arial" w:hAnsi="Arial" w:cs="Arial"/>
          <w:sz w:val="20"/>
          <w:szCs w:val="20"/>
        </w:rPr>
        <w:t>“A pure concept of free and informed consent is probably unattainable: ‘Most exchanges are entered into under constraints as to either available trading partners or, even more commonly, the terms of trade.’”</w:t>
      </w:r>
      <w:r>
        <w:rPr>
          <w:rStyle w:val="FootnoteReference"/>
          <w:rFonts w:ascii="Arial" w:hAnsi="Arial" w:cs="Arial"/>
          <w:sz w:val="20"/>
          <w:szCs w:val="20"/>
        </w:rPr>
        <w:footnoteReference w:id="212"/>
      </w:r>
    </w:p>
    <w:p w14:paraId="20823AE2" w14:textId="77777777" w:rsidR="00CC7EB4" w:rsidRPr="00F86FC6" w:rsidRDefault="00CC7EB4" w:rsidP="00CC7EB4">
      <w:pPr>
        <w:spacing w:after="160" w:line="360" w:lineRule="auto"/>
        <w:jc w:val="both"/>
        <w:rPr>
          <w:rFonts w:ascii="Arial" w:hAnsi="Arial" w:cs="Arial"/>
        </w:rPr>
      </w:pPr>
      <w:r>
        <w:rPr>
          <w:rFonts w:ascii="Arial" w:hAnsi="Arial" w:cs="Arial"/>
        </w:rPr>
        <w:t>As the above quote aims to illustrate, a truly free and informed consent is unattainable: a unicorn in the marketplace. Consumer consent (and the broader behaviour of individuals) is driven by external factors, such as biological, psychological and sociological factors.</w:t>
      </w:r>
      <w:r>
        <w:rPr>
          <w:rStyle w:val="FootnoteReference"/>
          <w:rFonts w:ascii="Arial" w:hAnsi="Arial" w:cs="Arial"/>
        </w:rPr>
        <w:footnoteReference w:id="213"/>
      </w:r>
      <w:r>
        <w:rPr>
          <w:rFonts w:ascii="Arial" w:hAnsi="Arial" w:cs="Arial"/>
        </w:rPr>
        <w:t xml:space="preserve"> The complexity of consent has parallels to that of the concept of free will in philosophy.</w:t>
      </w:r>
      <w:r>
        <w:rPr>
          <w:rStyle w:val="FootnoteReference"/>
          <w:rFonts w:ascii="Arial" w:hAnsi="Arial" w:cs="Arial"/>
        </w:rPr>
        <w:footnoteReference w:id="214"/>
      </w:r>
      <w:r>
        <w:rPr>
          <w:rFonts w:ascii="Arial" w:hAnsi="Arial" w:cs="Arial"/>
        </w:rPr>
        <w:t xml:space="preserve"> We think we truly consent, because our internal voice tells us to follow a certain course of action (by clicking the agree button). But how much of that internal voice is ours? And if our consent is tarnished by external factors, should it be upheld? This Chapter does not advocate for a ‘perfect’ consent to standard form contracts. We must draw the line somewhere. If perfect consent was required in order for standard form contracts to be valid, then these contracts would cease to operate (an obviously impractical solution). The question, then, is where the line should be drawn. This Chapter attempts to draw such a line and to this end, offers several recommendations for bettering the consent given to standard form contracts. It is time, I suggest, for the state to update its legal infrastructure to support the institution of contract.</w:t>
      </w:r>
      <w:r>
        <w:rPr>
          <w:rStyle w:val="FootnoteReference"/>
          <w:rFonts w:ascii="Arial" w:hAnsi="Arial" w:cs="Arial"/>
        </w:rPr>
        <w:footnoteReference w:id="215"/>
      </w:r>
    </w:p>
    <w:p w14:paraId="3F19A633" w14:textId="77777777" w:rsidR="00CC7EB4" w:rsidRDefault="00CC7EB4" w:rsidP="00CC7EB4">
      <w:pPr>
        <w:spacing w:after="160" w:line="360" w:lineRule="auto"/>
        <w:jc w:val="both"/>
        <w:rPr>
          <w:rFonts w:ascii="Arial" w:hAnsi="Arial" w:cs="Arial"/>
          <w:i/>
          <w:iCs/>
          <w:sz w:val="28"/>
          <w:szCs w:val="28"/>
        </w:rPr>
      </w:pPr>
      <w:r w:rsidRPr="005F3746">
        <w:rPr>
          <w:rFonts w:ascii="Arial" w:hAnsi="Arial" w:cs="Arial"/>
          <w:i/>
          <w:iCs/>
          <w:sz w:val="28"/>
          <w:szCs w:val="28"/>
        </w:rPr>
        <w:t>I</w:t>
      </w:r>
      <w:r>
        <w:rPr>
          <w:rFonts w:ascii="Arial" w:hAnsi="Arial" w:cs="Arial"/>
          <w:i/>
          <w:iCs/>
          <w:sz w:val="28"/>
          <w:szCs w:val="28"/>
        </w:rPr>
        <w:t xml:space="preserve">        </w:t>
      </w:r>
      <w:r w:rsidRPr="005F3746">
        <w:rPr>
          <w:rFonts w:ascii="Arial" w:hAnsi="Arial" w:cs="Arial"/>
          <w:i/>
          <w:iCs/>
          <w:sz w:val="28"/>
          <w:szCs w:val="28"/>
        </w:rPr>
        <w:t>Improved disclosure</w:t>
      </w:r>
    </w:p>
    <w:p w14:paraId="5609D1E9" w14:textId="77777777" w:rsidR="00CC7EB4" w:rsidRDefault="00CC7EB4" w:rsidP="00CC7EB4">
      <w:pPr>
        <w:spacing w:after="160" w:line="360" w:lineRule="auto"/>
        <w:jc w:val="both"/>
        <w:rPr>
          <w:rFonts w:ascii="Arial" w:hAnsi="Arial" w:cs="Arial"/>
        </w:rPr>
      </w:pPr>
      <w:r>
        <w:rPr>
          <w:rFonts w:ascii="Arial" w:hAnsi="Arial" w:cs="Arial"/>
        </w:rPr>
        <w:t>Disclosure, like sunlight, is said to be the best of disinfectants.</w:t>
      </w:r>
      <w:r>
        <w:rPr>
          <w:rStyle w:val="FootnoteReference"/>
          <w:rFonts w:ascii="Arial" w:hAnsi="Arial" w:cs="Arial"/>
        </w:rPr>
        <w:footnoteReference w:id="216"/>
      </w:r>
      <w:r>
        <w:rPr>
          <w:rFonts w:ascii="Arial" w:hAnsi="Arial" w:cs="Arial"/>
        </w:rPr>
        <w:t xml:space="preserve"> Some regimes, financial and otherwise, follow in this spirit by mandating improved contract disclosure. The EU General Data Privacy Regulation (GDPR), for example, requires privacy </w:t>
      </w:r>
      <w:r>
        <w:rPr>
          <w:rFonts w:ascii="Arial" w:hAnsi="Arial" w:cs="Arial"/>
        </w:rPr>
        <w:lastRenderedPageBreak/>
        <w:t>contracts to be provided in an intelligible and easily accessible form, using clear and plain language.</w:t>
      </w:r>
      <w:r>
        <w:rPr>
          <w:rStyle w:val="FootnoteReference"/>
          <w:rFonts w:ascii="Arial" w:hAnsi="Arial" w:cs="Arial"/>
        </w:rPr>
        <w:footnoteReference w:id="217"/>
      </w:r>
      <w:r>
        <w:rPr>
          <w:rFonts w:ascii="Arial" w:hAnsi="Arial" w:cs="Arial"/>
        </w:rPr>
        <w:t xml:space="preserve"> The logic is that, since contracts are readable, consumers will now read them, presumably improving their consent. The Financial Markets Conduct Act 2013 followed a similar model when it mandated product disclosure statements to provide information likely to assist the “prudent but non-expert person.”</w:t>
      </w:r>
      <w:r>
        <w:rPr>
          <w:rStyle w:val="FootnoteReference"/>
          <w:rFonts w:ascii="Arial" w:hAnsi="Arial" w:cs="Arial"/>
        </w:rPr>
        <w:footnoteReference w:id="218"/>
      </w:r>
    </w:p>
    <w:p w14:paraId="51C6BA40" w14:textId="77777777" w:rsidR="00CC7EB4" w:rsidRDefault="00CC7EB4" w:rsidP="00CC7EB4">
      <w:pPr>
        <w:spacing w:after="160" w:line="360" w:lineRule="auto"/>
        <w:jc w:val="both"/>
        <w:rPr>
          <w:rFonts w:ascii="Arial" w:hAnsi="Arial" w:cs="Arial"/>
        </w:rPr>
      </w:pPr>
      <w:r>
        <w:rPr>
          <w:rFonts w:ascii="Arial" w:hAnsi="Arial" w:cs="Arial"/>
        </w:rPr>
        <w:t>While disclosure regimes sound like an easy fix to improving consent, many in the academic literature take the opposite view. Disclosure regimes, they argue, have perverse effects because disclosure is associated with “slightly more contract bias, length and complexity.”</w:t>
      </w:r>
      <w:r>
        <w:rPr>
          <w:rStyle w:val="FootnoteReference"/>
          <w:rFonts w:ascii="Arial" w:hAnsi="Arial" w:cs="Arial"/>
        </w:rPr>
        <w:footnoteReference w:id="219"/>
      </w:r>
      <w:r>
        <w:rPr>
          <w:rFonts w:ascii="Arial" w:hAnsi="Arial" w:cs="Arial"/>
        </w:rPr>
        <w:t xml:space="preserve"> In the highly regulated financial industry, disclosure has at times – paradoxically - reduced transparency because of the resulting information overload.</w:t>
      </w:r>
      <w:r>
        <w:rPr>
          <w:rStyle w:val="FootnoteReference"/>
          <w:rFonts w:ascii="Arial" w:hAnsi="Arial" w:cs="Arial"/>
        </w:rPr>
        <w:footnoteReference w:id="220"/>
      </w:r>
      <w:r>
        <w:rPr>
          <w:rFonts w:ascii="Arial" w:hAnsi="Arial" w:cs="Arial"/>
        </w:rPr>
        <w:t xml:space="preserve"> Disclosure is often complained to contain irrelevant information or ineffectively communicate communication.</w:t>
      </w:r>
      <w:r>
        <w:rPr>
          <w:rStyle w:val="FootnoteReference"/>
          <w:rFonts w:ascii="Arial" w:hAnsi="Arial" w:cs="Arial"/>
        </w:rPr>
        <w:footnoteReference w:id="221"/>
      </w:r>
      <w:r>
        <w:rPr>
          <w:rFonts w:ascii="Arial" w:hAnsi="Arial" w:cs="Arial"/>
        </w:rPr>
        <w:t xml:space="preserve"> Moreover, improved disclosure does not change the fact that consumers are decision-averse,</w:t>
      </w:r>
      <w:r>
        <w:rPr>
          <w:rStyle w:val="FootnoteReference"/>
          <w:rFonts w:ascii="Arial" w:hAnsi="Arial" w:cs="Arial"/>
        </w:rPr>
        <w:footnoteReference w:id="222"/>
      </w:r>
      <w:r>
        <w:rPr>
          <w:rFonts w:ascii="Arial" w:hAnsi="Arial" w:cs="Arial"/>
        </w:rPr>
        <w:t xml:space="preserve"> suffer from decision-fatigue,</w:t>
      </w:r>
      <w:r>
        <w:rPr>
          <w:rStyle w:val="FootnoteReference"/>
          <w:rFonts w:ascii="Arial" w:hAnsi="Arial" w:cs="Arial"/>
        </w:rPr>
        <w:footnoteReference w:id="223"/>
      </w:r>
      <w:r>
        <w:rPr>
          <w:rFonts w:ascii="Arial" w:hAnsi="Arial" w:cs="Arial"/>
        </w:rPr>
        <w:t xml:space="preserve"> and generally do not want to read their contracts. The problems of disclosure are such, according to some authors, that the disclosure project is best abandoned.</w:t>
      </w:r>
      <w:r>
        <w:rPr>
          <w:rStyle w:val="FootnoteReference"/>
          <w:rFonts w:ascii="Arial" w:hAnsi="Arial" w:cs="Arial"/>
        </w:rPr>
        <w:footnoteReference w:id="224"/>
      </w:r>
      <w:r>
        <w:rPr>
          <w:rFonts w:ascii="Arial" w:hAnsi="Arial" w:cs="Arial"/>
        </w:rPr>
        <w:t xml:space="preserve"> We are so used to efficiency, so used to being told what is best for us, so used to acquiescence, that transparency and robust disclosure means nothing to us.</w:t>
      </w:r>
      <w:r>
        <w:rPr>
          <w:rStyle w:val="FootnoteReference"/>
          <w:rFonts w:ascii="Arial" w:hAnsi="Arial" w:cs="Arial"/>
        </w:rPr>
        <w:footnoteReference w:id="225"/>
      </w:r>
      <w:r>
        <w:rPr>
          <w:rFonts w:ascii="Arial" w:hAnsi="Arial" w:cs="Arial"/>
        </w:rPr>
        <w:t xml:space="preserve"> As a result, we will still “agree” to the terms and conditions without reading them. But this is not a fault of the consumer. The fact remains that if proper disclosure does improve consent, the consumer would have to spend, according to one estimate, 201 hours a year reading their privacy policies.</w:t>
      </w:r>
      <w:r>
        <w:rPr>
          <w:rStyle w:val="FootnoteReference"/>
          <w:rFonts w:ascii="Arial" w:hAnsi="Arial" w:cs="Arial"/>
        </w:rPr>
        <w:footnoteReference w:id="226"/>
      </w:r>
      <w:r>
        <w:rPr>
          <w:rFonts w:ascii="Arial" w:hAnsi="Arial" w:cs="Arial"/>
        </w:rPr>
        <w:t xml:space="preserve"> Ben-Shahar and Schneider illustrate the ridiculousness of this through their portrayal of Chris, the (fictional) poster child of the disclosure paradigm.</w:t>
      </w:r>
      <w:r>
        <w:rPr>
          <w:rStyle w:val="FootnoteReference"/>
          <w:rFonts w:ascii="Arial" w:hAnsi="Arial" w:cs="Arial"/>
        </w:rPr>
        <w:footnoteReference w:id="227"/>
      </w:r>
      <w:r>
        <w:rPr>
          <w:rFonts w:ascii="Arial" w:hAnsi="Arial" w:cs="Arial"/>
        </w:rPr>
        <w:t xml:space="preserve"> Chris reads the terms of every software update, every notice from his credit card provider, and the privacy policy of every website he browses.</w:t>
      </w:r>
      <w:r>
        <w:rPr>
          <w:rStyle w:val="FootnoteReference"/>
          <w:rFonts w:ascii="Arial" w:hAnsi="Arial" w:cs="Arial"/>
        </w:rPr>
        <w:footnoteReference w:id="228"/>
      </w:r>
      <w:r>
        <w:rPr>
          <w:rFonts w:ascii="Arial" w:hAnsi="Arial" w:cs="Arial"/>
        </w:rPr>
        <w:t xml:space="preserve"> </w:t>
      </w:r>
      <w:r>
        <w:rPr>
          <w:rFonts w:ascii="Arial" w:hAnsi="Arial" w:cs="Arial"/>
        </w:rPr>
        <w:lastRenderedPageBreak/>
        <w:t>Chris, to no surprise, is extremely tired at the end of the day, opting not to read the book by his bedside.</w:t>
      </w:r>
      <w:r>
        <w:rPr>
          <w:rStyle w:val="FootnoteReference"/>
          <w:rFonts w:ascii="Arial" w:hAnsi="Arial" w:cs="Arial"/>
        </w:rPr>
        <w:footnoteReference w:id="229"/>
      </w:r>
    </w:p>
    <w:p w14:paraId="4FE40496" w14:textId="77777777" w:rsidR="00CC7EB4" w:rsidRPr="00133B4A" w:rsidRDefault="00CC7EB4" w:rsidP="00CC7EB4">
      <w:pPr>
        <w:spacing w:after="160" w:line="360" w:lineRule="auto"/>
        <w:jc w:val="both"/>
        <w:rPr>
          <w:rFonts w:ascii="Arial" w:hAnsi="Arial" w:cs="Arial"/>
        </w:rPr>
      </w:pPr>
      <w:r>
        <w:rPr>
          <w:rFonts w:ascii="Arial" w:hAnsi="Arial" w:cs="Arial"/>
        </w:rPr>
        <w:t>Notwithstanding these criticisms, I argue that we can rescue disclosure. After all, robust disclosure is an improvement from the current state of affairs. As Chapter Two demonstrated, disclosure and transparency are not necessary in the New Zealand contractual landscape. While, at its extremity, disclosure leaves Chris a very dull boy, the opportunity afforded to Chris to inform himself at least respects his autonomy. Of course, many (most) consumers will not read the disclosure. But there are tried and tested ways of disclosing the pertinent aspects of a product. Just how packaged food lists its calories and hairdryers warn of the dangers of water, so too can standard form contract (or its attached product) transparently list its restrictions on liability, its waiver of class action or the ways in which it uses ones’ data.</w:t>
      </w:r>
      <w:r>
        <w:rPr>
          <w:rStyle w:val="FootnoteReference"/>
          <w:rFonts w:ascii="Arial" w:hAnsi="Arial" w:cs="Arial"/>
        </w:rPr>
        <w:footnoteReference w:id="230"/>
      </w:r>
      <w:r>
        <w:rPr>
          <w:rFonts w:ascii="Arial" w:hAnsi="Arial" w:cs="Arial"/>
        </w:rPr>
        <w:t xml:space="preserve"> Even disclosure’s biggest critic, Florencia Marotta-Wurgler, acknowledges that “mandating brief, standardized labels summarizing key license provisions … could help.”</w:t>
      </w:r>
      <w:r>
        <w:rPr>
          <w:rStyle w:val="FootnoteReference"/>
          <w:rFonts w:ascii="Arial" w:hAnsi="Arial" w:cs="Arial"/>
        </w:rPr>
        <w:footnoteReference w:id="231"/>
      </w:r>
      <w:r>
        <w:rPr>
          <w:rFonts w:ascii="Arial" w:hAnsi="Arial" w:cs="Arial"/>
        </w:rPr>
        <w:t xml:space="preserve"> Assuming that every consumer would read and properly consent to such warnings would remain a fiction, but there would be more opportunity to comprehend the information, which would, according to Chunlin Leonhard’s consent model, go a long way to achieving informed consent.</w:t>
      </w:r>
      <w:r>
        <w:rPr>
          <w:rStyle w:val="FootnoteReference"/>
          <w:rFonts w:ascii="Arial" w:hAnsi="Arial" w:cs="Arial"/>
        </w:rPr>
        <w:footnoteReference w:id="232"/>
      </w:r>
      <w:r>
        <w:rPr>
          <w:rFonts w:ascii="Arial" w:hAnsi="Arial" w:cs="Arial"/>
        </w:rPr>
        <w:t xml:space="preserve"> And speaking anecdotally, one is more likely to read the back of the biscuit packet than to read the clickwrap agreement. Making the clickwrap agreement consumer-friendly in this way, therefore, would do much to improve the consent of consumers. Improved disclosure has demonstrably affected consumer behaviour in the food industry: the introduction of mandatory calorie consumption signs in New York chain restaurants decreased calorie consumption by 6 percent,</w:t>
      </w:r>
      <w:r>
        <w:rPr>
          <w:rStyle w:val="FootnoteReference"/>
          <w:rFonts w:ascii="Arial" w:hAnsi="Arial" w:cs="Arial"/>
        </w:rPr>
        <w:footnoteReference w:id="233"/>
      </w:r>
      <w:r>
        <w:rPr>
          <w:rFonts w:ascii="Arial" w:hAnsi="Arial" w:cs="Arial"/>
        </w:rPr>
        <w:t xml:space="preserve"> while another (similar) initiative noticed a significant decrease in the sale of high-fat content salad dressings.</w:t>
      </w:r>
      <w:r>
        <w:rPr>
          <w:rStyle w:val="FootnoteReference"/>
          <w:rFonts w:ascii="Arial" w:hAnsi="Arial" w:cs="Arial"/>
        </w:rPr>
        <w:footnoteReference w:id="234"/>
      </w:r>
    </w:p>
    <w:p w14:paraId="7990D870" w14:textId="77777777" w:rsidR="00CC7EB4" w:rsidRDefault="00CC7EB4" w:rsidP="00CC7EB4">
      <w:pPr>
        <w:spacing w:after="160" w:line="360" w:lineRule="auto"/>
        <w:jc w:val="both"/>
        <w:rPr>
          <w:rFonts w:ascii="Arial" w:hAnsi="Arial" w:cs="Arial"/>
          <w:i/>
          <w:iCs/>
        </w:rPr>
      </w:pPr>
    </w:p>
    <w:p w14:paraId="44CC3ABF" w14:textId="77777777" w:rsidR="00CC7EB4" w:rsidRDefault="00CC7EB4" w:rsidP="00CC7EB4">
      <w:pPr>
        <w:spacing w:after="160" w:line="360" w:lineRule="auto"/>
        <w:jc w:val="both"/>
        <w:rPr>
          <w:rFonts w:ascii="Arial" w:hAnsi="Arial" w:cs="Arial"/>
          <w:i/>
          <w:iCs/>
        </w:rPr>
      </w:pPr>
    </w:p>
    <w:p w14:paraId="69F6872D" w14:textId="77777777" w:rsidR="00CC7EB4" w:rsidRPr="00245A16" w:rsidRDefault="00CC7EB4" w:rsidP="00CC7EB4">
      <w:pPr>
        <w:spacing w:after="160" w:line="360" w:lineRule="auto"/>
        <w:jc w:val="both"/>
        <w:rPr>
          <w:rFonts w:ascii="Arial" w:hAnsi="Arial" w:cs="Arial"/>
        </w:rPr>
      </w:pPr>
      <w:r>
        <w:rPr>
          <w:rFonts w:ascii="Arial" w:hAnsi="Arial" w:cs="Arial"/>
          <w:i/>
          <w:iCs/>
        </w:rPr>
        <w:lastRenderedPageBreak/>
        <w:t>A        How should disclosure work?</w:t>
      </w:r>
    </w:p>
    <w:p w14:paraId="31ACC8BA" w14:textId="77777777" w:rsidR="00CC7EB4" w:rsidRDefault="00CC7EB4" w:rsidP="00CC7EB4">
      <w:pPr>
        <w:spacing w:after="160" w:line="360" w:lineRule="auto"/>
        <w:jc w:val="both"/>
        <w:rPr>
          <w:rFonts w:ascii="Arial" w:hAnsi="Arial" w:cs="Arial"/>
        </w:rPr>
      </w:pPr>
      <w:r>
        <w:rPr>
          <w:rFonts w:ascii="Arial" w:hAnsi="Arial" w:cs="Arial"/>
        </w:rPr>
        <w:t>As the above illustrates, consumers can be sensitive to disclosure if done correctly. Rather than overburdening the consumer with a veritable overload of contractual terms designed to disorientate, disclosure can be achieved in a simple yet effective way. John Edwards, the recent New Zealand Privacy Commissioner, shared a similar sentiment when he stated (in the context of privacy and data protection) that “industry needs to be both more transparent with consumers about the nature of the transaction that ‘click’ involves, and more innovative in the ways in which it conveys that transparency.”</w:t>
      </w:r>
      <w:r>
        <w:rPr>
          <w:rStyle w:val="FootnoteReference"/>
          <w:rFonts w:ascii="Arial" w:hAnsi="Arial" w:cs="Arial"/>
        </w:rPr>
        <w:footnoteReference w:id="235"/>
      </w:r>
      <w:r>
        <w:rPr>
          <w:rFonts w:ascii="Arial" w:hAnsi="Arial" w:cs="Arial"/>
        </w:rPr>
        <w:t xml:space="preserve"> William Britton takes a similar position, arguing that a new provision should be inserted into the Fair Trading Act that imposes a positive duty on firms to draft their standard form contracts in plain, intelligible language, which meets a minimum standard of readability.</w:t>
      </w:r>
      <w:r>
        <w:rPr>
          <w:rStyle w:val="FootnoteReference"/>
          <w:rFonts w:ascii="Arial" w:hAnsi="Arial" w:cs="Arial"/>
        </w:rPr>
        <w:footnoteReference w:id="236"/>
      </w:r>
      <w:r>
        <w:rPr>
          <w:rFonts w:ascii="Arial" w:hAnsi="Arial" w:cs="Arial"/>
        </w:rPr>
        <w:t xml:space="preserve"> I go a step further however, and suggest an amendment to the Fair Trading Act which mandates a </w:t>
      </w:r>
      <w:r w:rsidRPr="001D7E5F">
        <w:rPr>
          <w:rFonts w:ascii="Arial" w:hAnsi="Arial" w:cs="Arial"/>
          <w:i/>
          <w:iCs/>
        </w:rPr>
        <w:t>simplified label-like, uber-transparent</w:t>
      </w:r>
      <w:r>
        <w:rPr>
          <w:rFonts w:ascii="Arial" w:hAnsi="Arial" w:cs="Arial"/>
        </w:rPr>
        <w:t xml:space="preserve"> set of terms and conditions to go alongside standard form contracts. This recommendation is not as radical as it may first appear: a number of prominent academics have offered similar recommendations.</w:t>
      </w:r>
      <w:r>
        <w:rPr>
          <w:rStyle w:val="FootnoteReference"/>
          <w:rFonts w:ascii="Arial" w:hAnsi="Arial" w:cs="Arial"/>
        </w:rPr>
        <w:footnoteReference w:id="237"/>
      </w:r>
      <w:r>
        <w:rPr>
          <w:rFonts w:ascii="Arial" w:hAnsi="Arial" w:cs="Arial"/>
        </w:rPr>
        <w:t xml:space="preserve"> Of course, this recommendation presents difficulties in several ways. First, the cost of implementation is significant. Secondly, it raises real dangers in regard to ambiguity between the “proper” contractual terms and the mere contractual signposts. Writing laws simply is a difficult endeavour and presents the risk of understating the parties’ rights and obligations. Thirdly, can we draw a bright line over what constitutes plain and intelligible language?</w:t>
      </w:r>
    </w:p>
    <w:p w14:paraId="4C9D5951" w14:textId="77777777" w:rsidR="00CC7EB4" w:rsidRDefault="00CC7EB4" w:rsidP="00CC7EB4">
      <w:pPr>
        <w:spacing w:after="160" w:line="360" w:lineRule="auto"/>
        <w:jc w:val="both"/>
        <w:rPr>
          <w:rFonts w:ascii="Arial" w:hAnsi="Arial" w:cs="Arial"/>
        </w:rPr>
      </w:pPr>
      <w:r>
        <w:rPr>
          <w:rFonts w:ascii="Arial" w:hAnsi="Arial" w:cs="Arial"/>
        </w:rPr>
        <w:t>Is the cost of implementation as uneconomical as some suggest?</w:t>
      </w:r>
      <w:r>
        <w:rPr>
          <w:rStyle w:val="FootnoteReference"/>
          <w:rFonts w:ascii="Arial" w:hAnsi="Arial" w:cs="Arial"/>
        </w:rPr>
        <w:footnoteReference w:id="238"/>
      </w:r>
      <w:r>
        <w:rPr>
          <w:rFonts w:ascii="Arial" w:hAnsi="Arial" w:cs="Arial"/>
        </w:rPr>
        <w:t xml:space="preserve"> There is good reason to answer in the negative. Arbel and Becher, for example, raise the possibilities at our fingertips with the advent of smart readers and LLMs (large language models).</w:t>
      </w:r>
      <w:r>
        <w:rPr>
          <w:rStyle w:val="FootnoteReference"/>
          <w:rFonts w:ascii="Arial" w:hAnsi="Arial" w:cs="Arial"/>
        </w:rPr>
        <w:footnoteReference w:id="239"/>
      </w:r>
      <w:r>
        <w:rPr>
          <w:rFonts w:ascii="Arial" w:hAnsi="Arial" w:cs="Arial"/>
        </w:rPr>
        <w:t xml:space="preserve"> Arbel and Becher view LLMs as a tool of the prudent consumer, who, after </w:t>
      </w:r>
      <w:r>
        <w:rPr>
          <w:rFonts w:ascii="Arial" w:hAnsi="Arial" w:cs="Arial"/>
        </w:rPr>
        <w:lastRenderedPageBreak/>
        <w:t>struggling to decipher the legalese of standard form contract, can now get a simplified version of the contract at the click of a button.</w:t>
      </w:r>
      <w:r>
        <w:rPr>
          <w:rStyle w:val="FootnoteReference"/>
          <w:rFonts w:ascii="Arial" w:hAnsi="Arial" w:cs="Arial"/>
        </w:rPr>
        <w:footnoteReference w:id="240"/>
      </w:r>
      <w:r>
        <w:rPr>
          <w:rFonts w:ascii="Arial" w:hAnsi="Arial" w:cs="Arial"/>
        </w:rPr>
        <w:t xml:space="preserve"> Arbel and Becher found great success in simplifying contract (trimming the length of the average clauses by 67 percent and reducing the reading level required to understand the average clause) yet retaining the clause’s contractual meaning.</w:t>
      </w:r>
      <w:r>
        <w:rPr>
          <w:rStyle w:val="FootnoteReference"/>
          <w:rFonts w:ascii="Arial" w:hAnsi="Arial" w:cs="Arial"/>
        </w:rPr>
        <w:footnoteReference w:id="241"/>
      </w:r>
      <w:r>
        <w:rPr>
          <w:rFonts w:ascii="Arial" w:hAnsi="Arial" w:cs="Arial"/>
        </w:rPr>
        <w:t xml:space="preserve"> If we flip Arbel and Becher’s thesis on its head – that consumers will use LLMs – and instead recognise that drafters can use LLMs, then perhaps implementing simplified and transparent contract is not as difficult as we think. Redesigning contract for the consumer would be a relatively easy affair, of course contingent on the (ever-improving) strength and reliability of the LLM. In terms of ambiguity between the general terms and conditions and the signposted version, Arbel and Becher’s study suggests that ambiguity is not too common to be a problem.</w:t>
      </w:r>
      <w:r>
        <w:rPr>
          <w:rStyle w:val="FootnoteReference"/>
          <w:rFonts w:ascii="Arial" w:hAnsi="Arial" w:cs="Arial"/>
        </w:rPr>
        <w:footnoteReference w:id="242"/>
      </w:r>
      <w:r>
        <w:rPr>
          <w:rFonts w:ascii="Arial" w:hAnsi="Arial" w:cs="Arial"/>
        </w:rPr>
        <w:t xml:space="preserve"> Their analysis of various clauses and their LLM counterparts leads them to the conclusion that, “the simplifications did not substantially undermine the quality of the text and the  scope of the information consumers receive.”</w:t>
      </w:r>
      <w:r>
        <w:rPr>
          <w:rStyle w:val="FootnoteReference"/>
          <w:rFonts w:ascii="Arial" w:hAnsi="Arial" w:cs="Arial"/>
        </w:rPr>
        <w:footnoteReference w:id="243"/>
      </w:r>
      <w:r>
        <w:rPr>
          <w:rFonts w:ascii="Arial" w:hAnsi="Arial" w:cs="Arial"/>
        </w:rPr>
        <w:t xml:space="preserve"> This is not to say that ambiguity will not occasionally arise. But the courts are well-equipped to deal with these contractual matters. One can contemplate a presumption to the effect that the general terms and conditions would trump or take precedence over the signposted terms in the event of conflict. Finally, is there a consensus on what constitutes plain and intelligible language? Becher suggests that consumer contracts should be written at an FRE score under sixty or an F-K score over 8.</w:t>
      </w:r>
      <w:r>
        <w:rPr>
          <w:rStyle w:val="FootnoteReference"/>
          <w:rFonts w:ascii="Arial" w:hAnsi="Arial" w:cs="Arial"/>
        </w:rPr>
        <w:footnoteReference w:id="244"/>
      </w:r>
      <w:r>
        <w:rPr>
          <w:rFonts w:ascii="Arial" w:hAnsi="Arial" w:cs="Arial"/>
        </w:rPr>
        <w:t xml:space="preserve"> The scores chosen reflect the average reading level of the general population, said to be (in the U.S.) at the 8</w:t>
      </w:r>
      <w:r w:rsidRPr="00C7509D">
        <w:rPr>
          <w:rFonts w:ascii="Arial" w:hAnsi="Arial" w:cs="Arial"/>
          <w:vertAlign w:val="superscript"/>
        </w:rPr>
        <w:t>th</w:t>
      </w:r>
      <w:r>
        <w:rPr>
          <w:rFonts w:ascii="Arial" w:hAnsi="Arial" w:cs="Arial"/>
        </w:rPr>
        <w:t xml:space="preserve"> grade level.</w:t>
      </w:r>
      <w:r>
        <w:rPr>
          <w:rStyle w:val="FootnoteReference"/>
          <w:rFonts w:ascii="Arial" w:hAnsi="Arial" w:cs="Arial"/>
        </w:rPr>
        <w:footnoteReference w:id="245"/>
      </w:r>
      <w:r>
        <w:rPr>
          <w:rFonts w:ascii="Arial" w:hAnsi="Arial" w:cs="Arial"/>
        </w:rPr>
        <w:t xml:space="preserve"> These metrics assess the readability of text by measuring the average sentence length and syllables per word.</w:t>
      </w:r>
      <w:r>
        <w:rPr>
          <w:rStyle w:val="FootnoteReference"/>
          <w:rFonts w:ascii="Arial" w:hAnsi="Arial" w:cs="Arial"/>
        </w:rPr>
        <w:footnoteReference w:id="246"/>
      </w:r>
      <w:r>
        <w:rPr>
          <w:rFonts w:ascii="Arial" w:hAnsi="Arial" w:cs="Arial"/>
        </w:rPr>
        <w:t xml:space="preserve"> These are easily quantifiable metrics and have the advantage of eliminating uncertainty. Employing such metrics, rather than legislating the words “plain and intelligible” presents benefit because it lacks subjectivity. What is plain and intelligible for a draftsman, for example, will differ significantly from what is plain and intelligible for the layperson.</w:t>
      </w:r>
    </w:p>
    <w:p w14:paraId="4B7858C8" w14:textId="77777777" w:rsidR="00CC7EB4" w:rsidRDefault="00CC7EB4" w:rsidP="00CC7EB4">
      <w:pPr>
        <w:spacing w:after="160" w:line="360" w:lineRule="auto"/>
        <w:jc w:val="both"/>
        <w:rPr>
          <w:rFonts w:ascii="Arial" w:hAnsi="Arial" w:cs="Arial"/>
        </w:rPr>
      </w:pPr>
      <w:r>
        <w:rPr>
          <w:rFonts w:ascii="Arial" w:hAnsi="Arial" w:cs="Arial"/>
        </w:rPr>
        <w:lastRenderedPageBreak/>
        <w:t>Increased disclosure in this fashion avoids several pitfalls inherent to the disclosure project. First, it does much to eliminate the decision-fatigue and laboriousness involved in reading standard form contract. No longer would it be necessary to read the fine print before one would feel (at least moderately) informed on the legal niceties of their transaction. Reading the bold print when signing up with Facebook would quickly inform the consumer how their data is used and the way in which the drafters liability is limited.</w:t>
      </w:r>
      <w:r>
        <w:rPr>
          <w:rStyle w:val="FootnoteReference"/>
          <w:rFonts w:ascii="Arial" w:hAnsi="Arial" w:cs="Arial"/>
        </w:rPr>
        <w:footnoteReference w:id="247"/>
      </w:r>
      <w:r>
        <w:rPr>
          <w:rFonts w:ascii="Arial" w:hAnsi="Arial" w:cs="Arial"/>
        </w:rPr>
        <w:t xml:space="preserve"> Businesses are used to making words and catchphrases conspicuous when it suits their marketing purposes; it would not be difficult to make the term and conditions label similarly conspicuous. The average consumer could reasonably obtain a rough idea of their legal rights and obligations on all of their standard form contracts without the gargantuan effort of the aforementioned Chris.</w:t>
      </w:r>
    </w:p>
    <w:p w14:paraId="62F2E11F" w14:textId="77777777" w:rsidR="00CC7EB4" w:rsidRDefault="00CC7EB4" w:rsidP="00CC7EB4">
      <w:pPr>
        <w:spacing w:after="160" w:line="360" w:lineRule="auto"/>
        <w:jc w:val="both"/>
        <w:rPr>
          <w:rFonts w:ascii="Arial" w:hAnsi="Arial" w:cs="Arial"/>
        </w:rPr>
      </w:pPr>
      <w:r>
        <w:rPr>
          <w:rFonts w:ascii="Arial" w:hAnsi="Arial" w:cs="Arial"/>
        </w:rPr>
        <w:t>Secondly, disclosure at this level would be more effective than other, heavily criticised disclosure regimes.</w:t>
      </w:r>
      <w:r>
        <w:rPr>
          <w:rStyle w:val="FootnoteReference"/>
          <w:rFonts w:ascii="Arial" w:hAnsi="Arial" w:cs="Arial"/>
        </w:rPr>
        <w:footnoteReference w:id="248"/>
      </w:r>
      <w:r>
        <w:rPr>
          <w:rFonts w:ascii="Arial" w:hAnsi="Arial" w:cs="Arial"/>
        </w:rPr>
        <w:t xml:space="preserve"> Making bold print ubiquitous to every standard form contract would eventually lead to a more informed, conscious group of consumers. In one of the more comprehensive studies on disclosure policy, Fung et al find that disclosure regimes are most effective when they embed information into the ordinary decision-making and action processes of information users and disclosers.</w:t>
      </w:r>
      <w:r>
        <w:rPr>
          <w:rStyle w:val="FootnoteReference"/>
          <w:rFonts w:ascii="Arial" w:hAnsi="Arial" w:cs="Arial"/>
        </w:rPr>
        <w:footnoteReference w:id="249"/>
      </w:r>
      <w:r>
        <w:rPr>
          <w:rFonts w:ascii="Arial" w:hAnsi="Arial" w:cs="Arial"/>
        </w:rPr>
        <w:t xml:space="preserve"> Information is embedded, Fung et al argue, when it is available at a “time, place and in a format that fit in with the way consumers … make choices as information users.”</w:t>
      </w:r>
      <w:r>
        <w:rPr>
          <w:rStyle w:val="FootnoteReference"/>
          <w:rFonts w:ascii="Arial" w:hAnsi="Arial" w:cs="Arial"/>
        </w:rPr>
        <w:footnoteReference w:id="250"/>
      </w:r>
      <w:r>
        <w:rPr>
          <w:rFonts w:ascii="Arial" w:hAnsi="Arial" w:cs="Arial"/>
        </w:rPr>
        <w:t xml:space="preserve"> What this practically means in the contractual disclosure context is that disclosure achieves nothing if dense, in fine print, and (as in browsewrap and shrinkwrap contracts) if it takes substantial effort to obtain. Contractual disclosure, will however, have a strong chance of influencing consumer behaviour if presented in an easily digestible, compact, and accessible fashion. What was previously alien will begin to make sense to consumers and influence their decision-making once disclosure becomes incorporated into their lives (just as one often looks for the food safety rating at a restaurant). </w:t>
      </w:r>
    </w:p>
    <w:p w14:paraId="1AB354C1" w14:textId="77777777" w:rsidR="00CC7EB4" w:rsidRDefault="00CC7EB4" w:rsidP="00CC7EB4">
      <w:pPr>
        <w:spacing w:after="160" w:line="360" w:lineRule="auto"/>
        <w:jc w:val="both"/>
        <w:rPr>
          <w:rFonts w:ascii="Arial" w:hAnsi="Arial" w:cs="Arial"/>
        </w:rPr>
      </w:pPr>
      <w:r>
        <w:rPr>
          <w:rFonts w:ascii="Arial" w:hAnsi="Arial" w:cs="Arial"/>
        </w:rPr>
        <w:lastRenderedPageBreak/>
        <w:t>Thirdly, and perhaps most importantly, effective disclosure deals with the cause of the problem, rather than its symptoms.</w:t>
      </w:r>
      <w:r>
        <w:rPr>
          <w:rStyle w:val="FootnoteReference"/>
          <w:rFonts w:ascii="Arial" w:hAnsi="Arial" w:cs="Arial"/>
        </w:rPr>
        <w:footnoteReference w:id="251"/>
      </w:r>
      <w:r>
        <w:rPr>
          <w:rFonts w:ascii="Arial" w:hAnsi="Arial" w:cs="Arial"/>
        </w:rPr>
        <w:t xml:space="preserve"> Unconscionability and unfair contract terms regimes are largely ex-post remedies, arising once the consumer is unhappy with the terms or consequences of the purported contract. Even putting aside the shortcomings of these doctrines, their ex-post nature is disadvantageous in the sense it only protects the zealous, resourceful, and knowledgeable consumer. Most consumers simply do not have the capability (whether resources or otherwise) to pursue litigation.</w:t>
      </w:r>
      <w:r>
        <w:rPr>
          <w:rStyle w:val="FootnoteReference"/>
          <w:rFonts w:ascii="Arial" w:hAnsi="Arial" w:cs="Arial"/>
        </w:rPr>
        <w:footnoteReference w:id="252"/>
      </w:r>
      <w:r>
        <w:rPr>
          <w:rFonts w:ascii="Arial" w:hAnsi="Arial" w:cs="Arial"/>
        </w:rPr>
        <w:t xml:space="preserve"> However, ex-ante legislation, like the proposed disclosure regime, better protects against all consumers, instead of ex-post, which does nothing for those who sit on or are unaware of their rights.</w:t>
      </w:r>
      <w:r>
        <w:rPr>
          <w:rStyle w:val="FootnoteReference"/>
          <w:rFonts w:ascii="Arial" w:hAnsi="Arial" w:cs="Arial"/>
        </w:rPr>
        <w:footnoteReference w:id="253"/>
      </w:r>
    </w:p>
    <w:p w14:paraId="6CC73891" w14:textId="77777777" w:rsidR="00CC7EB4" w:rsidRPr="00B900D2" w:rsidRDefault="00CC7EB4" w:rsidP="00CC7EB4">
      <w:pPr>
        <w:spacing w:after="160" w:line="360" w:lineRule="auto"/>
        <w:jc w:val="both"/>
        <w:rPr>
          <w:rFonts w:ascii="Arial" w:hAnsi="Arial" w:cs="Arial"/>
        </w:rPr>
      </w:pPr>
      <w:r>
        <w:rPr>
          <w:rFonts w:ascii="Arial" w:hAnsi="Arial" w:cs="Arial"/>
          <w:i/>
          <w:iCs/>
        </w:rPr>
        <w:t>B        Reflection on disclosure’s critics</w:t>
      </w:r>
    </w:p>
    <w:p w14:paraId="31D20551" w14:textId="77777777" w:rsidR="00CC7EB4" w:rsidRDefault="00CC7EB4" w:rsidP="00CC7EB4">
      <w:pPr>
        <w:spacing w:after="160" w:line="360" w:lineRule="auto"/>
        <w:jc w:val="both"/>
        <w:rPr>
          <w:rFonts w:ascii="Arial" w:hAnsi="Arial" w:cs="Arial"/>
        </w:rPr>
      </w:pPr>
      <w:r>
        <w:rPr>
          <w:rFonts w:ascii="Arial" w:hAnsi="Arial" w:cs="Arial"/>
        </w:rPr>
        <w:t>Obviously, disclosure has had its fair share of criticism. Some, following the publication of Ben-Shahar and Schneider’s “The Failure of Mandated Disclosure” take disclosure as necessarily defunct.</w:t>
      </w:r>
      <w:r>
        <w:rPr>
          <w:rStyle w:val="FootnoteReference"/>
          <w:rFonts w:ascii="Arial" w:hAnsi="Arial" w:cs="Arial"/>
        </w:rPr>
        <w:footnoteReference w:id="254"/>
      </w:r>
      <w:r>
        <w:rPr>
          <w:rFonts w:ascii="Arial" w:hAnsi="Arial" w:cs="Arial"/>
        </w:rPr>
        <w:t xml:space="preserve"> Instead, they walk the newly gilded road of ex-post remedies, arguing for improved unconscionability regimes and increased contractual term supervision (whether administrative or otherwise). The central thesis of this paper - namely the recommendation of a disclosure regime - would be remiss if it did not address some of this literature head on. As Chapter Two concluded, New Zealand’s unconscionability and unfair contract terms regimes do little to inspire confidence in ex-post remedies. It is my contention that the lack of - and manipulation of - informed consumer consent is so widespread that the occasional courtroom win does nothing for the consumer writ large. Numerous Commerce Commission investigations reveal the extent to which standard form contract is both unfair and lacks transparency.</w:t>
      </w:r>
      <w:r>
        <w:rPr>
          <w:rStyle w:val="FootnoteReference"/>
          <w:rFonts w:ascii="Arial" w:hAnsi="Arial" w:cs="Arial"/>
        </w:rPr>
        <w:footnoteReference w:id="255"/>
      </w:r>
      <w:r>
        <w:rPr>
          <w:rFonts w:ascii="Arial" w:hAnsi="Arial" w:cs="Arial"/>
        </w:rPr>
        <w:t xml:space="preserve"> While unconscionability and unfair contract terms regimes may occasionally rein in contracts that go too far, they do not sufficiently address what we might call the systemic crisis of consent. To illustrate the need for the proposed disclosure regime </w:t>
      </w:r>
      <w:r>
        <w:rPr>
          <w:rFonts w:ascii="Arial" w:hAnsi="Arial" w:cs="Arial"/>
        </w:rPr>
        <w:lastRenderedPageBreak/>
        <w:t>as opposed to its alternatives, this section addresses several of the points made by Ben-Shahar and Schneider.</w:t>
      </w:r>
    </w:p>
    <w:p w14:paraId="6122CAD1" w14:textId="77777777" w:rsidR="00CC7EB4" w:rsidRDefault="00CC7EB4" w:rsidP="00CC7EB4">
      <w:pPr>
        <w:spacing w:after="160" w:line="360" w:lineRule="auto"/>
        <w:jc w:val="both"/>
        <w:rPr>
          <w:rFonts w:ascii="Arial" w:hAnsi="Arial" w:cs="Arial"/>
        </w:rPr>
      </w:pPr>
      <w:r>
        <w:rPr>
          <w:rFonts w:ascii="Arial" w:hAnsi="Arial" w:cs="Arial"/>
        </w:rPr>
        <w:t>Ben-Shahar and Schneider, in their article “Coping with the Failure of Mandated Disclosure,” argue that the disclosure juice is not worth the squeeze because, generally speaking, its benefits are “undramatic,” “paternalistic,” and overall a waste of time.</w:t>
      </w:r>
      <w:r>
        <w:rPr>
          <w:rStyle w:val="FootnoteReference"/>
          <w:rFonts w:ascii="Arial" w:hAnsi="Arial" w:cs="Arial"/>
        </w:rPr>
        <w:footnoteReference w:id="256"/>
      </w:r>
      <w:r>
        <w:rPr>
          <w:rFonts w:ascii="Arial" w:hAnsi="Arial" w:cs="Arial"/>
        </w:rPr>
        <w:t xml:space="preserve"> They acknowledge arguments to the effect that disclosure can protect consumer autonomy by allowing them to make autonomous choices, yet attack these arguments by claiming that they are paternalistic.</w:t>
      </w:r>
      <w:r>
        <w:rPr>
          <w:rStyle w:val="FootnoteReference"/>
          <w:rFonts w:ascii="Arial" w:hAnsi="Arial" w:cs="Arial"/>
        </w:rPr>
        <w:footnoteReference w:id="257"/>
      </w:r>
      <w:r>
        <w:rPr>
          <w:rFonts w:ascii="Arial" w:hAnsi="Arial" w:cs="Arial"/>
        </w:rPr>
        <w:t xml:space="preserve"> This response seemingly lacks a contextual grounding in standard form contract, which, throughout this dissertation, has revealed itself to be a form of private legislation. After all, what would one prefer? Would they prefer being governed and manipulated by business? Or, would they prefer the soft paternalism of disclosure, which does not tell the consumer what to do but merely signposts their legal duties and obligations? I suggest that the authors concerns regarding paternalism are misplaced and that the latter is preferable to the former.</w:t>
      </w:r>
    </w:p>
    <w:p w14:paraId="0ECB9E54" w14:textId="77777777" w:rsidR="00CC7EB4" w:rsidRDefault="00CC7EB4" w:rsidP="00CC7EB4">
      <w:pPr>
        <w:spacing w:after="160" w:line="360" w:lineRule="auto"/>
        <w:jc w:val="both"/>
        <w:rPr>
          <w:rFonts w:ascii="Arial" w:hAnsi="Arial" w:cs="Arial"/>
        </w:rPr>
      </w:pPr>
      <w:r>
        <w:rPr>
          <w:rFonts w:ascii="Arial" w:hAnsi="Arial" w:cs="Arial"/>
        </w:rPr>
        <w:t>Ben-Shahar and Schneider argue, quite correctly, that “modernity repeatedly confronts people with unfamiliar and complex choices in transactions with people with interests of their own to whom the choices are familiar.”</w:t>
      </w:r>
      <w:r>
        <w:rPr>
          <w:rStyle w:val="FootnoteReference"/>
          <w:rFonts w:ascii="Arial" w:hAnsi="Arial" w:cs="Arial"/>
        </w:rPr>
        <w:footnoteReference w:id="258"/>
      </w:r>
      <w:r>
        <w:rPr>
          <w:rFonts w:ascii="Arial" w:hAnsi="Arial" w:cs="Arial"/>
        </w:rPr>
        <w:t xml:space="preserve"> From this, they conclude that mandated disclosure does not just sit uncomfortably, but is incompatible with the way that people live their lives and make their decisions (presumably because we are time poor and are constantly in a state of information asymmetry).</w:t>
      </w:r>
      <w:r>
        <w:rPr>
          <w:rStyle w:val="FootnoteReference"/>
          <w:rFonts w:ascii="Arial" w:hAnsi="Arial" w:cs="Arial"/>
        </w:rPr>
        <w:footnoteReference w:id="259"/>
      </w:r>
      <w:r>
        <w:rPr>
          <w:rFonts w:ascii="Arial" w:hAnsi="Arial" w:cs="Arial"/>
        </w:rPr>
        <w:t xml:space="preserve"> This conclusion, I submit, is quite wrong. No doubt we face an increasingly unfamiliar marketplace laden with complex products and unforeseen consequences. Yet as Fung et al conclude, disclosure can keep pace with the decision-making of consumers if it embeds itself into their consciousness.</w:t>
      </w:r>
      <w:r>
        <w:rPr>
          <w:rStyle w:val="FootnoteReference"/>
          <w:rFonts w:ascii="Arial" w:hAnsi="Arial" w:cs="Arial"/>
        </w:rPr>
        <w:footnoteReference w:id="260"/>
      </w:r>
      <w:r>
        <w:rPr>
          <w:rFonts w:ascii="Arial" w:hAnsi="Arial" w:cs="Arial"/>
        </w:rPr>
        <w:t xml:space="preserve"> The way that Ben-Shahar and Schneider talk about “people” suggests that they view them as a homogenous group, all sharing the same interests and concerned about the same things. As this Chapter began, we cannot have a perfect disclosure regime or achieve a perfect informed consumer consent. Thus, concluding that disclosure is incompatible with how we live our lives is </w:t>
      </w:r>
      <w:r>
        <w:rPr>
          <w:rFonts w:ascii="Arial" w:hAnsi="Arial" w:cs="Arial"/>
        </w:rPr>
        <w:lastRenderedPageBreak/>
        <w:t>fallacious in the sense that it neglects to recognise that consumers are atomised individuals. Margaret Radin criticises Ben-Shahar and Schneider along similar grounds by claiming that the authors would have “done well to have been more attentive to differentiation among different features of disclosure.”</w:t>
      </w:r>
      <w:r>
        <w:rPr>
          <w:rStyle w:val="FootnoteReference"/>
          <w:rFonts w:ascii="Arial" w:hAnsi="Arial" w:cs="Arial"/>
        </w:rPr>
        <w:footnoteReference w:id="261"/>
      </w:r>
      <w:r>
        <w:rPr>
          <w:rFonts w:ascii="Arial" w:hAnsi="Arial" w:cs="Arial"/>
        </w:rPr>
        <w:t xml:space="preserve"> Radin speaks for herself and this author when she argues that disclosure means different things to different people. Disclosure really matters, she argues, when it is salient.</w:t>
      </w:r>
      <w:r>
        <w:rPr>
          <w:rStyle w:val="FootnoteReference"/>
          <w:rFonts w:ascii="Arial" w:hAnsi="Arial" w:cs="Arial"/>
        </w:rPr>
        <w:footnoteReference w:id="262"/>
      </w:r>
      <w:r>
        <w:rPr>
          <w:rFonts w:ascii="Arial" w:hAnsi="Arial" w:cs="Arial"/>
        </w:rPr>
        <w:t xml:space="preserve"> Yes, a risk tolerant consumer is content to not read their privacy policy. But the consumer concerned with their privacy will find simplified privacy policy disclosure to be salient, just how the consumer with peanut allergies will find salience in the fine print of their food.</w:t>
      </w:r>
      <w:r>
        <w:rPr>
          <w:rStyle w:val="FootnoteReference"/>
          <w:rFonts w:ascii="Arial" w:hAnsi="Arial" w:cs="Arial"/>
        </w:rPr>
        <w:footnoteReference w:id="263"/>
      </w:r>
      <w:r>
        <w:rPr>
          <w:rFonts w:ascii="Arial" w:hAnsi="Arial" w:cs="Arial"/>
        </w:rPr>
        <w:t xml:space="preserve"> In other words, the complexity of modernity is not the nail in the disclosure coffin that Ben-Shahar and Schneider think it is. The marketplace is indeed more complex, but disclosure remains efficacious if the consumer finds saliency in the disclosed information.</w:t>
      </w:r>
    </w:p>
    <w:p w14:paraId="3485AD4C" w14:textId="77777777" w:rsidR="00CC7EB4" w:rsidRPr="00AD1A41" w:rsidRDefault="00CC7EB4" w:rsidP="00CC7EB4">
      <w:pPr>
        <w:spacing w:after="160" w:line="360" w:lineRule="auto"/>
        <w:jc w:val="both"/>
        <w:rPr>
          <w:rFonts w:ascii="Arial" w:hAnsi="Arial" w:cs="Arial"/>
        </w:rPr>
      </w:pPr>
      <w:r>
        <w:rPr>
          <w:rFonts w:ascii="Arial" w:hAnsi="Arial" w:cs="Arial"/>
        </w:rPr>
        <w:t>Another point to dispense with is Ben-Shahar and Schneider’s criticism of simplicity.</w:t>
      </w:r>
      <w:r>
        <w:rPr>
          <w:rStyle w:val="FootnoteReference"/>
          <w:rFonts w:ascii="Arial" w:hAnsi="Arial" w:cs="Arial"/>
        </w:rPr>
        <w:footnoteReference w:id="264"/>
      </w:r>
      <w:r>
        <w:rPr>
          <w:rFonts w:ascii="Arial" w:hAnsi="Arial" w:cs="Arial"/>
        </w:rPr>
        <w:t xml:space="preserve"> Simplification, they argue, does not save disclosure because the complex is not simple.</w:t>
      </w:r>
      <w:r>
        <w:rPr>
          <w:rStyle w:val="FootnoteReference"/>
          <w:rFonts w:ascii="Arial" w:hAnsi="Arial" w:cs="Arial"/>
        </w:rPr>
        <w:footnoteReference w:id="265"/>
      </w:r>
      <w:r>
        <w:rPr>
          <w:rFonts w:ascii="Arial" w:hAnsi="Arial" w:cs="Arial"/>
        </w:rPr>
        <w:t xml:space="preserve"> In the process of simplifying disclosure, therefore, we may struggle to compromise between the adequate and the accessible.</w:t>
      </w:r>
      <w:r>
        <w:rPr>
          <w:rStyle w:val="FootnoteReference"/>
          <w:rFonts w:ascii="Arial" w:hAnsi="Arial" w:cs="Arial"/>
        </w:rPr>
        <w:footnoteReference w:id="266"/>
      </w:r>
      <w:r>
        <w:rPr>
          <w:rFonts w:ascii="Arial" w:hAnsi="Arial" w:cs="Arial"/>
        </w:rPr>
        <w:t xml:space="preserve"> Summarising key information may distort or omit information.</w:t>
      </w:r>
      <w:r>
        <w:rPr>
          <w:rStyle w:val="FootnoteReference"/>
          <w:rFonts w:ascii="Arial" w:hAnsi="Arial" w:cs="Arial"/>
        </w:rPr>
        <w:footnoteReference w:id="267"/>
      </w:r>
      <w:r>
        <w:rPr>
          <w:rFonts w:ascii="Arial" w:hAnsi="Arial" w:cs="Arial"/>
        </w:rPr>
        <w:t xml:space="preserve"> As a result, simplification is a waste of time.</w:t>
      </w:r>
      <w:r>
        <w:rPr>
          <w:rStyle w:val="FootnoteReference"/>
          <w:rFonts w:ascii="Arial" w:hAnsi="Arial" w:cs="Arial"/>
        </w:rPr>
        <w:footnoteReference w:id="268"/>
      </w:r>
      <w:r>
        <w:rPr>
          <w:rFonts w:ascii="Arial" w:hAnsi="Arial" w:cs="Arial"/>
        </w:rPr>
        <w:t xml:space="preserve"> This author acknowledges these criticisms in the round, but submits that we are speaking at cross-purposes. The proposed disclosure regime of this dissertation would indeed omit certain information, and no doubt would not disclose adequate information if adequate information was taken to mean all the intricacies of a contract. However, disclosure of the type proposed does not intend to clarify the entirety of a contract. Instead, it aims to clarify the key </w:t>
      </w:r>
      <w:r>
        <w:rPr>
          <w:rFonts w:ascii="Arial" w:hAnsi="Arial" w:cs="Arial"/>
          <w:i/>
          <w:iCs/>
        </w:rPr>
        <w:t xml:space="preserve">salient </w:t>
      </w:r>
      <w:r>
        <w:rPr>
          <w:rFonts w:ascii="Arial" w:hAnsi="Arial" w:cs="Arial"/>
        </w:rPr>
        <w:t xml:space="preserve">elements of a contract: the terms which affect consumers the most or which carry the most significant consequences. Disclosure relating to a privacy policy, for example, would likely need to alert the consumer that their data is being used by third parties. Disclosure relating to the </w:t>
      </w:r>
      <w:r>
        <w:rPr>
          <w:rFonts w:ascii="Arial" w:hAnsi="Arial" w:cs="Arial"/>
        </w:rPr>
        <w:lastRenderedPageBreak/>
        <w:t>precise intricacies of the data usage would be unnecessary, for the reason that we can assume consumers to be relatively indifferent to the specificities of the contract (i.e., the information is not salient). Yes, different elements of a contract may have different shades of salience for different consumers, something which has been studied at length by Porat and Strahilevitz.</w:t>
      </w:r>
      <w:r>
        <w:rPr>
          <w:rStyle w:val="FootnoteReference"/>
          <w:rFonts w:ascii="Arial" w:hAnsi="Arial" w:cs="Arial"/>
        </w:rPr>
        <w:footnoteReference w:id="269"/>
      </w:r>
      <w:r>
        <w:rPr>
          <w:rFonts w:ascii="Arial" w:hAnsi="Arial" w:cs="Arial"/>
        </w:rPr>
        <w:t xml:space="preserve"> Some elements of a contract remain so objectively salient, however, that they ought to be subject to increased disclosure.</w:t>
      </w:r>
    </w:p>
    <w:p w14:paraId="0755F99B" w14:textId="77777777" w:rsidR="00CC7EB4" w:rsidRDefault="00CC7EB4" w:rsidP="00CC7EB4">
      <w:pPr>
        <w:spacing w:after="160" w:line="360" w:lineRule="auto"/>
        <w:jc w:val="both"/>
        <w:rPr>
          <w:rFonts w:ascii="Arial" w:hAnsi="Arial" w:cs="Arial"/>
          <w:i/>
          <w:iCs/>
        </w:rPr>
      </w:pPr>
      <w:r>
        <w:rPr>
          <w:rFonts w:ascii="Arial" w:hAnsi="Arial" w:cs="Arial"/>
          <w:i/>
          <w:iCs/>
        </w:rPr>
        <w:t>C        Disclosure as a nudge for the discloser</w:t>
      </w:r>
    </w:p>
    <w:p w14:paraId="08555D3E" w14:textId="77777777" w:rsidR="00CC7EB4" w:rsidRPr="00726244" w:rsidRDefault="00CC7EB4" w:rsidP="00CC7EB4">
      <w:pPr>
        <w:spacing w:after="160" w:line="360" w:lineRule="auto"/>
        <w:jc w:val="both"/>
        <w:rPr>
          <w:rFonts w:ascii="Arial" w:hAnsi="Arial" w:cs="Arial"/>
        </w:rPr>
      </w:pPr>
      <w:r>
        <w:rPr>
          <w:rFonts w:ascii="Arial" w:hAnsi="Arial" w:cs="Arial"/>
        </w:rPr>
        <w:t>One seldom addressed benefit of disclosure is that it may “nudge” the disclosing entity into legal compliance.</w:t>
      </w:r>
      <w:r>
        <w:rPr>
          <w:rStyle w:val="FootnoteReference"/>
          <w:rFonts w:ascii="Arial" w:hAnsi="Arial" w:cs="Arial"/>
        </w:rPr>
        <w:footnoteReference w:id="270"/>
      </w:r>
      <w:r>
        <w:rPr>
          <w:rFonts w:ascii="Arial" w:hAnsi="Arial" w:cs="Arial"/>
        </w:rPr>
        <w:t xml:space="preserve"> Stephanie Bornstein finds the nudging effect to be of significant consequence with regard to gender-based pay gaps and other forms of racial and gender equality.</w:t>
      </w:r>
      <w:r>
        <w:rPr>
          <w:rStyle w:val="FootnoteReference"/>
          <w:rFonts w:ascii="Arial" w:hAnsi="Arial" w:cs="Arial"/>
        </w:rPr>
        <w:footnoteReference w:id="271"/>
      </w:r>
      <w:r>
        <w:rPr>
          <w:rFonts w:ascii="Arial" w:hAnsi="Arial" w:cs="Arial"/>
        </w:rPr>
        <w:t xml:space="preserve"> Other forms of disclosure, like fuel efficiency and calorie labelling, have also influenced the behaviour of firms.</w:t>
      </w:r>
      <w:r>
        <w:rPr>
          <w:rStyle w:val="FootnoteReference"/>
          <w:rFonts w:ascii="Arial" w:hAnsi="Arial" w:cs="Arial"/>
        </w:rPr>
        <w:footnoteReference w:id="272"/>
      </w:r>
      <w:r>
        <w:rPr>
          <w:rFonts w:ascii="Arial" w:hAnsi="Arial" w:cs="Arial"/>
        </w:rPr>
        <w:t xml:space="preserve"> The inherent “publicness” of disclosure may go some way to rectifying the lingering inequity of standard form contract. In pursuing disclosure, therefore, we may inadvertently trigger a secondary response, in which not only are consumers given the opportunity to understand and consent to contract, but drafters become conscious of and responsive to the content of their contract. While this benefit is subsidiary to the main objective of improving consent, the naked publicity of disclosure may be one avenue through which firms can be disciplined for poor standard form contract.</w:t>
      </w:r>
    </w:p>
    <w:p w14:paraId="4DE6D443" w14:textId="77777777" w:rsidR="00CC7EB4" w:rsidRDefault="00CC7EB4" w:rsidP="00CC7EB4">
      <w:pPr>
        <w:spacing w:after="160" w:line="360" w:lineRule="auto"/>
        <w:jc w:val="both"/>
        <w:rPr>
          <w:rFonts w:ascii="Arial" w:hAnsi="Arial" w:cs="Arial"/>
          <w:i/>
          <w:iCs/>
        </w:rPr>
      </w:pPr>
      <w:r>
        <w:rPr>
          <w:rFonts w:ascii="Arial" w:hAnsi="Arial" w:cs="Arial"/>
          <w:i/>
          <w:iCs/>
        </w:rPr>
        <w:t>D.       A caveat to the above</w:t>
      </w:r>
    </w:p>
    <w:p w14:paraId="2B69E5C8" w14:textId="77777777" w:rsidR="00CC7EB4" w:rsidRDefault="00CC7EB4" w:rsidP="00CC7EB4">
      <w:pPr>
        <w:spacing w:after="160" w:line="360" w:lineRule="auto"/>
        <w:jc w:val="both"/>
        <w:rPr>
          <w:rFonts w:ascii="Arial" w:hAnsi="Arial" w:cs="Arial"/>
        </w:rPr>
      </w:pPr>
      <w:r>
        <w:rPr>
          <w:rFonts w:ascii="Arial" w:hAnsi="Arial" w:cs="Arial"/>
        </w:rPr>
        <w:t>Disclosure has been in the legislative toolbox for some time now. The fact remains, however, that disclosure is characterised by a paucity of research.</w:t>
      </w:r>
      <w:r>
        <w:rPr>
          <w:rStyle w:val="FootnoteReference"/>
          <w:rFonts w:ascii="Arial" w:hAnsi="Arial" w:cs="Arial"/>
        </w:rPr>
        <w:footnoteReference w:id="273"/>
      </w:r>
      <w:r>
        <w:rPr>
          <w:rFonts w:ascii="Arial" w:hAnsi="Arial" w:cs="Arial"/>
        </w:rPr>
        <w:t xml:space="preserve"> It would be audacious for this dissertation to put forward its recommendation as the be-all and end-all of disclosure. Disclosure is so innately linked to the behavioural psychology of consumers (and disclosees at large) as to be inseparable from it. Any advocate of a disclosure regime, therefore, must pay close attention to the ever-changing research relating to human behaviour. The disclosure regime as recommended in this </w:t>
      </w:r>
      <w:r>
        <w:rPr>
          <w:rFonts w:ascii="Arial" w:hAnsi="Arial" w:cs="Arial"/>
        </w:rPr>
        <w:lastRenderedPageBreak/>
        <w:t xml:space="preserve">dissertation is not perfect, nor is it intended to be. Rather than being an authoritative recommendation on the legislative path New Zealand should take, this Chapter should be viewed as an attempt to bring an end to the supposed death knell of disclosure. </w:t>
      </w:r>
    </w:p>
    <w:p w14:paraId="18A10286" w14:textId="77777777" w:rsidR="00CC7EB4" w:rsidRPr="00DD5A11" w:rsidRDefault="00CC7EB4" w:rsidP="00CC7EB4">
      <w:pPr>
        <w:spacing w:after="160" w:line="360" w:lineRule="auto"/>
        <w:jc w:val="both"/>
        <w:rPr>
          <w:rFonts w:ascii="Arial" w:hAnsi="Arial" w:cs="Arial"/>
        </w:rPr>
      </w:pPr>
      <w:r>
        <w:rPr>
          <w:rFonts w:ascii="Arial" w:hAnsi="Arial" w:cs="Arial"/>
        </w:rPr>
        <w:t xml:space="preserve">An improved disclosure regime can take many forms, whether applying to all standard form contract or merely those deemed most important (such as higher value contracts). It could mandate licensing labels, improve third party review and supervision mechanisms, or on the lower end, simply mandate simplified language. What </w:t>
      </w:r>
      <w:r w:rsidRPr="005145B3">
        <w:rPr>
          <w:rFonts w:ascii="Arial" w:hAnsi="Arial" w:cs="Arial"/>
          <w:i/>
          <w:iCs/>
        </w:rPr>
        <w:t>is</w:t>
      </w:r>
      <w:r>
        <w:rPr>
          <w:rFonts w:ascii="Arial" w:hAnsi="Arial" w:cs="Arial"/>
        </w:rPr>
        <w:t xml:space="preserve"> authoritative, this dissertation hopes to have argued, is the need for </w:t>
      </w:r>
      <w:r w:rsidRPr="005145B3">
        <w:rPr>
          <w:rFonts w:ascii="Arial" w:hAnsi="Arial" w:cs="Arial"/>
        </w:rPr>
        <w:t>some</w:t>
      </w:r>
      <w:r>
        <w:rPr>
          <w:rFonts w:ascii="Arial" w:hAnsi="Arial" w:cs="Arial"/>
          <w:i/>
          <w:iCs/>
        </w:rPr>
        <w:t xml:space="preserve"> </w:t>
      </w:r>
      <w:r>
        <w:rPr>
          <w:rFonts w:ascii="Arial" w:hAnsi="Arial" w:cs="Arial"/>
        </w:rPr>
        <w:t>kind of legislative intervention. Standard form contract is broken in many ways, and not convincingly fixed by the current suite of legislative protections. Margaret Radin, speaking at the HLA Hart Memorial Lecture, put it best when she said that before boilerplate “ … we largely allowed it to go without saying that the state is supposed to provide a legal infrastructure to support the institution of contract.”</w:t>
      </w:r>
      <w:r>
        <w:rPr>
          <w:rStyle w:val="FootnoteReference"/>
          <w:rFonts w:ascii="Arial" w:hAnsi="Arial" w:cs="Arial"/>
        </w:rPr>
        <w:footnoteReference w:id="274"/>
      </w:r>
      <w:r>
        <w:rPr>
          <w:rFonts w:ascii="Arial" w:hAnsi="Arial" w:cs="Arial"/>
        </w:rPr>
        <w:t xml:space="preserve"> Standard form contract has serious deficiencies, deficiencies which are not corrected by the ad hoc and underdeveloped doctrines under the Fair Trading Act. Just as the Global Financial Crisis sparked rapid legislative intervention, one can hope that the systemic crisis of consent sparks a similar response.</w:t>
      </w:r>
    </w:p>
    <w:p w14:paraId="73EA927D" w14:textId="77777777" w:rsidR="00CC7EB4" w:rsidRPr="00A76821" w:rsidRDefault="00CC7EB4" w:rsidP="00CC7EB4">
      <w:pPr>
        <w:spacing w:after="160" w:line="360" w:lineRule="auto"/>
        <w:jc w:val="center"/>
        <w:rPr>
          <w:rFonts w:ascii="Arial" w:hAnsi="Arial" w:cs="Arial"/>
          <w:b/>
          <w:bCs/>
          <w:sz w:val="28"/>
          <w:szCs w:val="28"/>
        </w:rPr>
      </w:pPr>
      <w:r w:rsidRPr="00A76821">
        <w:rPr>
          <w:rFonts w:ascii="Arial" w:hAnsi="Arial" w:cs="Arial"/>
          <w:b/>
          <w:bCs/>
          <w:sz w:val="28"/>
          <w:szCs w:val="28"/>
        </w:rPr>
        <w:t>CONCLUSION</w:t>
      </w:r>
    </w:p>
    <w:p w14:paraId="0902AE04" w14:textId="77777777" w:rsidR="00CC7EB4" w:rsidRPr="002920A4" w:rsidRDefault="00CC7EB4" w:rsidP="00CC7EB4">
      <w:pPr>
        <w:spacing w:after="160" w:line="360" w:lineRule="auto"/>
        <w:jc w:val="both"/>
        <w:rPr>
          <w:rFonts w:ascii="Arial" w:hAnsi="Arial" w:cs="Arial"/>
        </w:rPr>
      </w:pPr>
      <w:r>
        <w:rPr>
          <w:rFonts w:ascii="Arial" w:hAnsi="Arial" w:cs="Arial"/>
        </w:rPr>
        <w:t xml:space="preserve">Unconscionability and unfair contract terms regimes are an important start to protecting the consumer against the excess of standard form contract. However, as this dissertation contends, these doctrines miss the mark by treating the symptom of poor standard form contracting, not the cause. Their operation, while a welcome addition to the litigator’s toolbox, neglects an understanding of the essential and central role of consent. In many ways, the shortcomings of these doctrines are evident </w:t>
      </w:r>
      <w:r>
        <w:rPr>
          <w:rFonts w:ascii="Arial" w:hAnsi="Arial" w:cs="Arial"/>
          <w:i/>
          <w:iCs/>
        </w:rPr>
        <w:t xml:space="preserve">res ipsa loquitur. </w:t>
      </w:r>
      <w:r>
        <w:rPr>
          <w:rFonts w:ascii="Arial" w:hAnsi="Arial" w:cs="Arial"/>
        </w:rPr>
        <w:t xml:space="preserve">If they work well, why is contract so increasingly consumer unfriendly? A pleading of unconscionability – on the current New Zealand approach - is likely to fail in the event of a shrinkwrap contract or a contract crafted to manipulate the biases of the consumer. The declaration of an unfair contract term is not available when relating to the hidden prices of a given product or service, and a non-transparent term is not, by itself, unfair. The status quo then, is a marketplace in which business can privately legislate, obscure, and manipulate with little consequence. Only with a </w:t>
      </w:r>
      <w:r>
        <w:rPr>
          <w:rFonts w:ascii="Arial" w:hAnsi="Arial" w:cs="Arial"/>
        </w:rPr>
        <w:lastRenderedPageBreak/>
        <w:t>robust disclosure system can shoddy contracting be brought to light and consent given a chance to truly flourish.</w:t>
      </w:r>
    </w:p>
    <w:p w14:paraId="46DA7272" w14:textId="77777777" w:rsidR="00CC7EB4" w:rsidRDefault="00CC7EB4" w:rsidP="00CC7EB4">
      <w:pPr>
        <w:spacing w:after="160"/>
        <w:rPr>
          <w:rFonts w:ascii="Arial" w:hAnsi="Arial" w:cs="Arial"/>
          <w:b/>
          <w:bCs/>
          <w:i/>
          <w:iCs/>
          <w:sz w:val="28"/>
          <w:szCs w:val="28"/>
        </w:rPr>
      </w:pPr>
      <w:r>
        <w:rPr>
          <w:rFonts w:ascii="Arial" w:hAnsi="Arial" w:cs="Arial"/>
          <w:b/>
          <w:bCs/>
          <w:i/>
          <w:iCs/>
          <w:sz w:val="28"/>
          <w:szCs w:val="28"/>
        </w:rPr>
        <w:br w:type="page"/>
      </w:r>
    </w:p>
    <w:p w14:paraId="45655296" w14:textId="77777777" w:rsidR="00CC7EB4" w:rsidRPr="002C7D1B" w:rsidRDefault="00CC7EB4" w:rsidP="00CC7EB4">
      <w:pPr>
        <w:spacing w:after="160" w:line="360" w:lineRule="auto"/>
        <w:jc w:val="both"/>
        <w:rPr>
          <w:rFonts w:ascii="Arial" w:hAnsi="Arial" w:cs="Arial"/>
          <w:b/>
          <w:bCs/>
          <w:i/>
          <w:iCs/>
          <w:sz w:val="28"/>
          <w:szCs w:val="28"/>
        </w:rPr>
      </w:pPr>
      <w:r w:rsidRPr="002C7D1B">
        <w:rPr>
          <w:rFonts w:ascii="Arial" w:hAnsi="Arial" w:cs="Arial"/>
          <w:b/>
          <w:bCs/>
          <w:i/>
          <w:iCs/>
          <w:sz w:val="28"/>
          <w:szCs w:val="28"/>
        </w:rPr>
        <w:lastRenderedPageBreak/>
        <w:t>Bibliography</w:t>
      </w:r>
    </w:p>
    <w:p w14:paraId="5B1E0FCB" w14:textId="77777777" w:rsidR="00CC7EB4" w:rsidRPr="002C7D1B" w:rsidRDefault="00CC7EB4" w:rsidP="00CC7EB4">
      <w:pPr>
        <w:spacing w:after="160" w:line="360" w:lineRule="auto"/>
        <w:jc w:val="both"/>
        <w:rPr>
          <w:rFonts w:ascii="Arial" w:hAnsi="Arial" w:cs="Arial"/>
          <w:b/>
          <w:bCs/>
          <w:i/>
          <w:iCs/>
        </w:rPr>
      </w:pPr>
      <w:r w:rsidRPr="002C7D1B">
        <w:rPr>
          <w:rFonts w:ascii="Arial" w:hAnsi="Arial" w:cs="Arial"/>
          <w:b/>
          <w:bCs/>
          <w:i/>
          <w:iCs/>
        </w:rPr>
        <w:t>A        Cases</w:t>
      </w:r>
    </w:p>
    <w:p w14:paraId="2B50CDA4" w14:textId="77777777" w:rsidR="00CC7EB4" w:rsidRPr="002C7D1B" w:rsidRDefault="00CC7EB4" w:rsidP="00CC7EB4">
      <w:pPr>
        <w:spacing w:after="160" w:line="360" w:lineRule="auto"/>
        <w:jc w:val="both"/>
        <w:rPr>
          <w:rFonts w:ascii="Arial" w:hAnsi="Arial" w:cs="Arial"/>
          <w:i/>
          <w:iCs/>
        </w:rPr>
      </w:pPr>
      <w:r w:rsidRPr="002C7D1B">
        <w:rPr>
          <w:rFonts w:ascii="Arial" w:hAnsi="Arial" w:cs="Arial"/>
          <w:i/>
          <w:iCs/>
        </w:rPr>
        <w:t>1        New Zealand</w:t>
      </w:r>
    </w:p>
    <w:p w14:paraId="55EDDFD3" w14:textId="77777777" w:rsidR="00CC7EB4" w:rsidRPr="002C7D1B" w:rsidRDefault="00CC7EB4" w:rsidP="00CC7EB4">
      <w:pPr>
        <w:spacing w:after="160" w:line="360" w:lineRule="auto"/>
        <w:jc w:val="both"/>
        <w:rPr>
          <w:rFonts w:ascii="Arial" w:hAnsi="Arial" w:cs="Arial"/>
        </w:rPr>
      </w:pPr>
      <w:r w:rsidRPr="002C7D1B">
        <w:rPr>
          <w:rFonts w:ascii="Arial" w:hAnsi="Arial" w:cs="Arial"/>
          <w:i/>
          <w:iCs/>
        </w:rPr>
        <w:t xml:space="preserve">Bowkett v Action Finance Ltd </w:t>
      </w:r>
      <w:r w:rsidRPr="002C7D1B">
        <w:rPr>
          <w:rFonts w:ascii="Arial" w:hAnsi="Arial" w:cs="Arial"/>
        </w:rPr>
        <w:t>[1992] 1 NZLR 449.</w:t>
      </w:r>
    </w:p>
    <w:p w14:paraId="21B073ED" w14:textId="77777777" w:rsidR="00CC7EB4" w:rsidRPr="002C7D1B" w:rsidRDefault="00CC7EB4" w:rsidP="00CC7EB4">
      <w:pPr>
        <w:spacing w:after="160" w:line="360" w:lineRule="auto"/>
        <w:jc w:val="both"/>
        <w:rPr>
          <w:rFonts w:ascii="Arial" w:hAnsi="Arial" w:cs="Arial"/>
        </w:rPr>
      </w:pPr>
      <w:r w:rsidRPr="002C7D1B">
        <w:rPr>
          <w:rFonts w:ascii="Arial" w:hAnsi="Arial" w:cs="Arial"/>
          <w:i/>
          <w:iCs/>
        </w:rPr>
        <w:t xml:space="preserve">Commerce Commission v Home Direct </w:t>
      </w:r>
      <w:r w:rsidRPr="002C7D1B">
        <w:rPr>
          <w:rFonts w:ascii="Arial" w:hAnsi="Arial" w:cs="Arial"/>
        </w:rPr>
        <w:t>[2019] NZHC 2943</w:t>
      </w:r>
      <w:r>
        <w:rPr>
          <w:rFonts w:ascii="Arial" w:hAnsi="Arial" w:cs="Arial"/>
        </w:rPr>
        <w:t>.</w:t>
      </w:r>
    </w:p>
    <w:p w14:paraId="095C0F83" w14:textId="77777777" w:rsidR="00CC7EB4" w:rsidRPr="002C7D1B" w:rsidRDefault="00CC7EB4" w:rsidP="00CC7EB4">
      <w:pPr>
        <w:spacing w:after="160" w:line="360" w:lineRule="auto"/>
        <w:jc w:val="both"/>
        <w:rPr>
          <w:rFonts w:ascii="Arial" w:hAnsi="Arial" w:cs="Arial"/>
        </w:rPr>
      </w:pPr>
      <w:r w:rsidRPr="002C7D1B">
        <w:rPr>
          <w:rStyle w:val="ssit"/>
          <w:rFonts w:ascii="Arial" w:hAnsi="Arial" w:cs="Arial"/>
          <w:i/>
          <w:iCs/>
          <w:color w:val="212121"/>
          <w:bdr w:val="none" w:sz="0" w:space="0" w:color="auto" w:frame="1"/>
        </w:rPr>
        <w:t>Gustav &amp; Co Ltd v Macfield Ltd</w:t>
      </w:r>
      <w:r w:rsidRPr="002C7D1B">
        <w:rPr>
          <w:rFonts w:ascii="Arial" w:hAnsi="Arial" w:cs="Arial"/>
          <w:color w:val="212121"/>
          <w:shd w:val="clear" w:color="auto" w:fill="FFFFFF"/>
        </w:rPr>
        <w:t xml:space="preserve">  [2007] NZCA 205</w:t>
      </w:r>
      <w:r>
        <w:rPr>
          <w:rFonts w:ascii="Arial" w:hAnsi="Arial" w:cs="Arial"/>
          <w:color w:val="212121"/>
          <w:shd w:val="clear" w:color="auto" w:fill="FFFFFF"/>
        </w:rPr>
        <w:t>.</w:t>
      </w:r>
    </w:p>
    <w:p w14:paraId="2BCBC1D9" w14:textId="77777777" w:rsidR="00CC7EB4" w:rsidRPr="002C7D1B" w:rsidRDefault="00CC7EB4" w:rsidP="00CC7EB4">
      <w:pPr>
        <w:spacing w:after="160" w:line="360" w:lineRule="auto"/>
        <w:jc w:val="both"/>
        <w:rPr>
          <w:rFonts w:ascii="Arial" w:hAnsi="Arial" w:cs="Arial"/>
          <w:i/>
          <w:iCs/>
        </w:rPr>
      </w:pPr>
      <w:r w:rsidRPr="002C7D1B">
        <w:rPr>
          <w:rFonts w:ascii="Arial" w:hAnsi="Arial" w:cs="Arial"/>
          <w:i/>
          <w:iCs/>
        </w:rPr>
        <w:t>2       Australia</w:t>
      </w:r>
    </w:p>
    <w:p w14:paraId="42D87095" w14:textId="77777777" w:rsidR="00CC7EB4" w:rsidRPr="002C7D1B" w:rsidRDefault="00CC7EB4" w:rsidP="00CC7EB4">
      <w:pPr>
        <w:spacing w:after="160" w:line="360" w:lineRule="auto"/>
        <w:jc w:val="both"/>
        <w:rPr>
          <w:rFonts w:ascii="Arial" w:hAnsi="Arial" w:cs="Arial"/>
          <w:i/>
          <w:iCs/>
        </w:rPr>
      </w:pPr>
      <w:r w:rsidRPr="002C7D1B">
        <w:rPr>
          <w:rFonts w:ascii="Arial" w:hAnsi="Arial" w:cs="Arial"/>
          <w:i/>
          <w:iCs/>
        </w:rPr>
        <w:t xml:space="preserve">ASIC v Kobelt </w:t>
      </w:r>
      <w:r w:rsidRPr="002C7D1B">
        <w:rPr>
          <w:rFonts w:ascii="Arial" w:hAnsi="Arial" w:cs="Arial"/>
        </w:rPr>
        <w:t>[2019] HCA 18.</w:t>
      </w:r>
    </w:p>
    <w:p w14:paraId="0463DA4D" w14:textId="77777777" w:rsidR="00CC7EB4" w:rsidRPr="002C7D1B" w:rsidRDefault="00CC7EB4" w:rsidP="00CC7EB4">
      <w:pPr>
        <w:spacing w:after="160" w:line="360" w:lineRule="auto"/>
        <w:jc w:val="both"/>
        <w:rPr>
          <w:rFonts w:ascii="Arial" w:hAnsi="Arial" w:cs="Arial"/>
          <w:i/>
          <w:iCs/>
        </w:rPr>
      </w:pPr>
      <w:r w:rsidRPr="002C7D1B">
        <w:rPr>
          <w:rFonts w:ascii="Arial" w:hAnsi="Arial" w:cs="Arial"/>
          <w:i/>
          <w:iCs/>
        </w:rPr>
        <w:t>3       England and Wales</w:t>
      </w:r>
    </w:p>
    <w:p w14:paraId="05BA6B1B"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i/>
          <w:iCs/>
          <w:lang w:val="en-US"/>
        </w:rPr>
        <w:t xml:space="preserve">Carlill v Carbolic Smoke Ball Co </w:t>
      </w:r>
      <w:r w:rsidRPr="002C7D1B">
        <w:rPr>
          <w:rFonts w:ascii="Arial" w:hAnsi="Arial" w:cs="Arial"/>
          <w:lang w:val="en-US"/>
        </w:rPr>
        <w:t>[1893] 1 QB 256.</w:t>
      </w:r>
    </w:p>
    <w:p w14:paraId="5BABA7F3" w14:textId="77777777" w:rsidR="00CC7EB4" w:rsidRPr="002C7D1B" w:rsidRDefault="00CC7EB4" w:rsidP="00CC7EB4">
      <w:pPr>
        <w:spacing w:after="160" w:line="360" w:lineRule="auto"/>
        <w:jc w:val="both"/>
        <w:rPr>
          <w:rFonts w:ascii="Arial" w:hAnsi="Arial" w:cs="Arial"/>
        </w:rPr>
      </w:pPr>
      <w:r w:rsidRPr="002C7D1B">
        <w:rPr>
          <w:rFonts w:ascii="Arial" w:hAnsi="Arial" w:cs="Arial"/>
          <w:i/>
          <w:iCs/>
        </w:rPr>
        <w:t xml:space="preserve">George Mitchell (Chesterhall) v Finney Lock Seeds </w:t>
      </w:r>
      <w:r w:rsidRPr="002C7D1B">
        <w:rPr>
          <w:rFonts w:ascii="Arial" w:hAnsi="Arial" w:cs="Arial"/>
        </w:rPr>
        <w:t>[1983] QB 284.</w:t>
      </w:r>
    </w:p>
    <w:p w14:paraId="6356F782" w14:textId="77777777" w:rsidR="00CC7EB4" w:rsidRPr="002C7D1B" w:rsidRDefault="00CC7EB4" w:rsidP="00CC7EB4">
      <w:pPr>
        <w:spacing w:after="160" w:line="360" w:lineRule="auto"/>
        <w:jc w:val="both"/>
        <w:rPr>
          <w:rFonts w:ascii="Arial" w:hAnsi="Arial" w:cs="Arial"/>
        </w:rPr>
      </w:pPr>
      <w:r w:rsidRPr="002C7D1B">
        <w:rPr>
          <w:rFonts w:ascii="Arial" w:hAnsi="Arial" w:cs="Arial"/>
          <w:i/>
          <w:iCs/>
        </w:rPr>
        <w:t xml:space="preserve">J Spurling Ltd v Bradshaw </w:t>
      </w:r>
      <w:r w:rsidRPr="002C7D1B">
        <w:rPr>
          <w:rFonts w:ascii="Arial" w:hAnsi="Arial" w:cs="Arial"/>
        </w:rPr>
        <w:t>[1956] EWCA Civ 3.</w:t>
      </w:r>
    </w:p>
    <w:p w14:paraId="1A621517" w14:textId="77777777" w:rsidR="00CC7EB4" w:rsidRPr="002C7D1B" w:rsidRDefault="00CC7EB4" w:rsidP="00CC7EB4">
      <w:pPr>
        <w:spacing w:after="160" w:line="360" w:lineRule="auto"/>
        <w:jc w:val="both"/>
        <w:rPr>
          <w:rFonts w:ascii="Arial" w:hAnsi="Arial" w:cs="Arial"/>
        </w:rPr>
      </w:pPr>
      <w:r w:rsidRPr="002C7D1B">
        <w:rPr>
          <w:rFonts w:ascii="Arial" w:hAnsi="Arial" w:cs="Arial"/>
          <w:i/>
          <w:iCs/>
        </w:rPr>
        <w:t xml:space="preserve">Karsales (Harrow) Ltd v Wallis </w:t>
      </w:r>
      <w:r w:rsidRPr="002C7D1B">
        <w:rPr>
          <w:rFonts w:ascii="Arial" w:hAnsi="Arial" w:cs="Arial"/>
        </w:rPr>
        <w:t>[1956] 2 All ER 866.</w:t>
      </w:r>
    </w:p>
    <w:p w14:paraId="3FCFC52F" w14:textId="77777777" w:rsidR="00CC7EB4" w:rsidRPr="002C7D1B" w:rsidRDefault="00CC7EB4" w:rsidP="00CC7EB4">
      <w:pPr>
        <w:spacing w:after="160" w:line="360" w:lineRule="auto"/>
        <w:jc w:val="both"/>
        <w:rPr>
          <w:rFonts w:ascii="Arial" w:hAnsi="Arial" w:cs="Arial"/>
        </w:rPr>
      </w:pPr>
      <w:r w:rsidRPr="002C7D1B">
        <w:rPr>
          <w:rFonts w:ascii="Arial" w:hAnsi="Arial" w:cs="Arial"/>
          <w:i/>
          <w:iCs/>
        </w:rPr>
        <w:t xml:space="preserve">L’Estrange v F Graucob Ltd </w:t>
      </w:r>
      <w:r w:rsidRPr="002C7D1B">
        <w:rPr>
          <w:rFonts w:ascii="Arial" w:hAnsi="Arial" w:cs="Arial"/>
        </w:rPr>
        <w:t>[1934] 2 KB 394.</w:t>
      </w:r>
    </w:p>
    <w:p w14:paraId="20CC6DE6" w14:textId="77777777" w:rsidR="00CC7EB4" w:rsidRPr="002C7D1B" w:rsidRDefault="00CC7EB4" w:rsidP="00CC7EB4">
      <w:pPr>
        <w:spacing w:after="160" w:line="360" w:lineRule="auto"/>
        <w:jc w:val="both"/>
        <w:rPr>
          <w:rFonts w:ascii="Arial" w:hAnsi="Arial" w:cs="Arial"/>
        </w:rPr>
      </w:pPr>
      <w:r w:rsidRPr="002C7D1B">
        <w:rPr>
          <w:rFonts w:ascii="Arial" w:hAnsi="Arial" w:cs="Arial"/>
          <w:i/>
          <w:iCs/>
        </w:rPr>
        <w:t xml:space="preserve">Office of Fair Trading v Abbey National Plc </w:t>
      </w:r>
      <w:r w:rsidRPr="002C7D1B">
        <w:rPr>
          <w:rFonts w:ascii="Arial" w:hAnsi="Arial" w:cs="Arial"/>
        </w:rPr>
        <w:t>[2009] UKSC 6.</w:t>
      </w:r>
    </w:p>
    <w:p w14:paraId="5DA0D184" w14:textId="77777777" w:rsidR="00CC7EB4" w:rsidRPr="002C7D1B" w:rsidRDefault="00CC7EB4" w:rsidP="00CC7EB4">
      <w:pPr>
        <w:spacing w:after="160" w:line="360" w:lineRule="auto"/>
        <w:jc w:val="both"/>
        <w:rPr>
          <w:rFonts w:ascii="Arial" w:hAnsi="Arial" w:cs="Arial"/>
        </w:rPr>
      </w:pPr>
      <w:r w:rsidRPr="002C7D1B">
        <w:rPr>
          <w:rFonts w:ascii="Arial" w:hAnsi="Arial" w:cs="Arial"/>
          <w:i/>
          <w:iCs/>
        </w:rPr>
        <w:t xml:space="preserve">Printing and Numerical Registering Co v Samson </w:t>
      </w:r>
      <w:r w:rsidRPr="002C7D1B">
        <w:rPr>
          <w:rFonts w:ascii="Arial" w:hAnsi="Arial" w:cs="Arial"/>
        </w:rPr>
        <w:t>(1875) Eq 462.</w:t>
      </w:r>
    </w:p>
    <w:p w14:paraId="7D92A14C" w14:textId="77777777" w:rsidR="00CC7EB4" w:rsidRPr="002C7D1B" w:rsidRDefault="00CC7EB4" w:rsidP="00CC7EB4">
      <w:pPr>
        <w:spacing w:after="160" w:line="360" w:lineRule="auto"/>
        <w:jc w:val="both"/>
        <w:rPr>
          <w:rFonts w:ascii="Arial" w:hAnsi="Arial" w:cs="Arial"/>
        </w:rPr>
      </w:pPr>
      <w:r w:rsidRPr="002C7D1B">
        <w:rPr>
          <w:rFonts w:ascii="Arial" w:hAnsi="Arial" w:cs="Arial"/>
          <w:i/>
          <w:iCs/>
        </w:rPr>
        <w:t xml:space="preserve">Smith v Hughes </w:t>
      </w:r>
      <w:r w:rsidRPr="002C7D1B">
        <w:rPr>
          <w:rFonts w:ascii="Arial" w:hAnsi="Arial" w:cs="Arial"/>
        </w:rPr>
        <w:t>(1871) LR 6 QB 597.</w:t>
      </w:r>
    </w:p>
    <w:p w14:paraId="7D42D379" w14:textId="77777777" w:rsidR="00CC7EB4" w:rsidRPr="002C7D1B" w:rsidRDefault="00CC7EB4" w:rsidP="00CC7EB4">
      <w:pPr>
        <w:spacing w:after="160" w:line="360" w:lineRule="auto"/>
        <w:jc w:val="both"/>
        <w:rPr>
          <w:rFonts w:ascii="Arial" w:hAnsi="Arial" w:cs="Arial"/>
        </w:rPr>
      </w:pPr>
      <w:r w:rsidRPr="002C7D1B">
        <w:rPr>
          <w:rFonts w:ascii="Arial" w:hAnsi="Arial" w:cs="Arial"/>
          <w:i/>
          <w:iCs/>
        </w:rPr>
        <w:t xml:space="preserve">Thompson v London, Midland and Scottish Railway Company </w:t>
      </w:r>
      <w:r w:rsidRPr="002C7D1B">
        <w:rPr>
          <w:rFonts w:ascii="Arial" w:hAnsi="Arial" w:cs="Arial"/>
        </w:rPr>
        <w:t>[1930] 1 KB 41.</w:t>
      </w:r>
    </w:p>
    <w:p w14:paraId="07B7B455" w14:textId="77777777" w:rsidR="00CC7EB4" w:rsidRPr="002C7D1B" w:rsidRDefault="00CC7EB4" w:rsidP="00CC7EB4">
      <w:pPr>
        <w:spacing w:after="160" w:line="360" w:lineRule="auto"/>
        <w:jc w:val="both"/>
        <w:rPr>
          <w:rFonts w:ascii="Arial" w:hAnsi="Arial" w:cs="Arial"/>
        </w:rPr>
      </w:pPr>
      <w:r w:rsidRPr="002C7D1B">
        <w:rPr>
          <w:rFonts w:ascii="Arial" w:hAnsi="Arial" w:cs="Arial"/>
          <w:i/>
          <w:iCs/>
        </w:rPr>
        <w:t xml:space="preserve">Thornton v Shoe Lane Parking Ltd </w:t>
      </w:r>
      <w:r w:rsidRPr="002C7D1B">
        <w:rPr>
          <w:rFonts w:ascii="Arial" w:hAnsi="Arial" w:cs="Arial"/>
        </w:rPr>
        <w:t>[1971] 2 QB 163.</w:t>
      </w:r>
    </w:p>
    <w:p w14:paraId="2D8DDF98"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i/>
          <w:iCs/>
          <w:lang w:val="en-US"/>
        </w:rPr>
        <w:t xml:space="preserve">Vernon v Bethell </w:t>
      </w:r>
      <w:r w:rsidRPr="002C7D1B">
        <w:rPr>
          <w:rFonts w:ascii="Arial" w:hAnsi="Arial" w:cs="Arial"/>
          <w:lang w:val="en-US"/>
        </w:rPr>
        <w:t>(1762) 28 ER 838.</w:t>
      </w:r>
    </w:p>
    <w:p w14:paraId="36C7A555" w14:textId="77777777" w:rsidR="00CC7EB4" w:rsidRPr="002C7D1B" w:rsidRDefault="00CC7EB4" w:rsidP="00CC7EB4">
      <w:pPr>
        <w:spacing w:after="160" w:line="360" w:lineRule="auto"/>
        <w:jc w:val="both"/>
        <w:rPr>
          <w:rFonts w:ascii="Arial" w:hAnsi="Arial" w:cs="Arial"/>
          <w:i/>
          <w:iCs/>
        </w:rPr>
      </w:pPr>
      <w:r w:rsidRPr="002C7D1B">
        <w:rPr>
          <w:rFonts w:ascii="Arial" w:hAnsi="Arial" w:cs="Arial"/>
          <w:i/>
          <w:iCs/>
        </w:rPr>
        <w:t>4       Canada</w:t>
      </w:r>
    </w:p>
    <w:p w14:paraId="241E82ED" w14:textId="77777777" w:rsidR="00CC7EB4" w:rsidRPr="002C7D1B" w:rsidRDefault="00CC7EB4" w:rsidP="00CC7EB4">
      <w:pPr>
        <w:spacing w:after="160" w:line="360" w:lineRule="auto"/>
        <w:jc w:val="both"/>
        <w:rPr>
          <w:rFonts w:ascii="Arial" w:hAnsi="Arial" w:cs="Arial"/>
          <w:i/>
          <w:iCs/>
        </w:rPr>
      </w:pPr>
      <w:r w:rsidRPr="002C7D1B">
        <w:rPr>
          <w:rFonts w:ascii="Arial" w:hAnsi="Arial" w:cs="Arial"/>
          <w:i/>
          <w:iCs/>
        </w:rPr>
        <w:t xml:space="preserve">Uber Technologies Inc v Heller </w:t>
      </w:r>
      <w:r w:rsidRPr="002C7D1B">
        <w:rPr>
          <w:rFonts w:ascii="Arial" w:hAnsi="Arial" w:cs="Arial"/>
        </w:rPr>
        <w:t>2020 SCC 16.</w:t>
      </w:r>
    </w:p>
    <w:p w14:paraId="419177CB" w14:textId="77777777" w:rsidR="00CC7EB4" w:rsidRPr="002C7D1B" w:rsidRDefault="00CC7EB4" w:rsidP="00CC7EB4">
      <w:pPr>
        <w:spacing w:after="160" w:line="360" w:lineRule="auto"/>
        <w:jc w:val="both"/>
        <w:rPr>
          <w:rFonts w:ascii="Arial" w:hAnsi="Arial" w:cs="Arial"/>
          <w:i/>
          <w:iCs/>
        </w:rPr>
      </w:pPr>
      <w:r w:rsidRPr="002C7D1B">
        <w:rPr>
          <w:rFonts w:ascii="Arial" w:hAnsi="Arial" w:cs="Arial"/>
          <w:i/>
          <w:iCs/>
        </w:rPr>
        <w:t>5       United States</w:t>
      </w:r>
    </w:p>
    <w:p w14:paraId="04AD7B58" w14:textId="77777777" w:rsidR="00CC7EB4" w:rsidRPr="002C7D1B" w:rsidRDefault="00CC7EB4" w:rsidP="00CC7EB4">
      <w:pPr>
        <w:spacing w:after="160" w:line="360" w:lineRule="auto"/>
        <w:jc w:val="both"/>
        <w:rPr>
          <w:rFonts w:ascii="Arial" w:hAnsi="Arial" w:cs="Arial"/>
        </w:rPr>
      </w:pPr>
      <w:r w:rsidRPr="002C7D1B">
        <w:rPr>
          <w:rFonts w:ascii="Arial" w:hAnsi="Arial" w:cs="Arial"/>
          <w:i/>
          <w:iCs/>
        </w:rPr>
        <w:t xml:space="preserve">Hubbert v Dell Corp </w:t>
      </w:r>
      <w:r w:rsidRPr="002C7D1B">
        <w:rPr>
          <w:rFonts w:ascii="Arial" w:hAnsi="Arial" w:cs="Arial"/>
        </w:rPr>
        <w:t>835 N.E. 2d 113 (III. App. Ct. 2005).</w:t>
      </w:r>
    </w:p>
    <w:p w14:paraId="0E619538" w14:textId="77777777" w:rsidR="00CC7EB4" w:rsidRPr="002C7D1B" w:rsidRDefault="00CC7EB4" w:rsidP="00CC7EB4">
      <w:pPr>
        <w:spacing w:after="160" w:line="360" w:lineRule="auto"/>
        <w:jc w:val="both"/>
        <w:rPr>
          <w:rFonts w:ascii="Arial" w:hAnsi="Arial" w:cs="Arial"/>
        </w:rPr>
      </w:pPr>
      <w:r w:rsidRPr="002C7D1B">
        <w:rPr>
          <w:rFonts w:ascii="Arial" w:hAnsi="Arial" w:cs="Arial"/>
          <w:i/>
          <w:iCs/>
          <w:color w:val="202122"/>
        </w:rPr>
        <w:lastRenderedPageBreak/>
        <w:t xml:space="preserve">Kwan v. Clearwire </w:t>
      </w:r>
      <w:r w:rsidRPr="002C7D1B">
        <w:rPr>
          <w:rStyle w:val="FootnoteReference"/>
          <w:rFonts w:ascii="Arial" w:hAnsi="Arial" w:cs="Arial"/>
          <w:vertAlign w:val="baseline"/>
        </w:rPr>
        <w:t>Corp., No. C09-1392JLR, 2012 WL 32380 (W.D. Wash. Jan. 3, 2012).</w:t>
      </w:r>
    </w:p>
    <w:p w14:paraId="50A64C4D" w14:textId="77777777" w:rsidR="00CC7EB4" w:rsidRPr="002C7D1B" w:rsidRDefault="00CC7EB4" w:rsidP="00CC7EB4">
      <w:pPr>
        <w:spacing w:after="160" w:line="360" w:lineRule="auto"/>
        <w:jc w:val="both"/>
        <w:rPr>
          <w:rFonts w:ascii="Arial" w:hAnsi="Arial" w:cs="Arial"/>
        </w:rPr>
      </w:pPr>
      <w:r w:rsidRPr="002C7D1B">
        <w:rPr>
          <w:rFonts w:ascii="Arial" w:hAnsi="Arial" w:cs="Arial"/>
          <w:i/>
          <w:iCs/>
        </w:rPr>
        <w:t xml:space="preserve">Specht v Netscape Communications Corp </w:t>
      </w:r>
      <w:r w:rsidRPr="002C7D1B">
        <w:rPr>
          <w:rFonts w:ascii="Arial" w:hAnsi="Arial" w:cs="Arial"/>
        </w:rPr>
        <w:t>306 F.3d 17 (2d Cir. 2002).</w:t>
      </w:r>
    </w:p>
    <w:p w14:paraId="16CA0057" w14:textId="77777777" w:rsidR="00CC7EB4" w:rsidRPr="002C7D1B" w:rsidRDefault="00CC7EB4" w:rsidP="00CC7EB4">
      <w:pPr>
        <w:spacing w:after="160" w:line="360" w:lineRule="auto"/>
        <w:jc w:val="both"/>
        <w:rPr>
          <w:rFonts w:ascii="Arial" w:hAnsi="Arial" w:cs="Arial"/>
          <w:b/>
          <w:bCs/>
        </w:rPr>
      </w:pPr>
      <w:r w:rsidRPr="002C7D1B">
        <w:rPr>
          <w:rFonts w:ascii="Arial" w:hAnsi="Arial" w:cs="Arial"/>
          <w:b/>
          <w:bCs/>
          <w:i/>
          <w:iCs/>
        </w:rPr>
        <w:t>B.       Legislation</w:t>
      </w:r>
    </w:p>
    <w:p w14:paraId="5E7BBF54" w14:textId="77777777" w:rsidR="00CC7EB4" w:rsidRPr="002C7D1B" w:rsidRDefault="00CC7EB4" w:rsidP="00CC7EB4">
      <w:pPr>
        <w:spacing w:after="160" w:line="360" w:lineRule="auto"/>
        <w:jc w:val="both"/>
        <w:rPr>
          <w:rFonts w:ascii="Arial" w:hAnsi="Arial" w:cs="Arial"/>
          <w:i/>
          <w:iCs/>
        </w:rPr>
      </w:pPr>
      <w:r w:rsidRPr="002C7D1B">
        <w:rPr>
          <w:rFonts w:ascii="Arial" w:hAnsi="Arial" w:cs="Arial"/>
          <w:i/>
          <w:iCs/>
        </w:rPr>
        <w:t>1       New Zealand</w:t>
      </w:r>
    </w:p>
    <w:p w14:paraId="4C67DC6C" w14:textId="77777777" w:rsidR="00CC7EB4" w:rsidRPr="002C7D1B" w:rsidRDefault="00CC7EB4" w:rsidP="00CC7EB4">
      <w:pPr>
        <w:spacing w:after="160" w:line="360" w:lineRule="auto"/>
        <w:jc w:val="both"/>
        <w:rPr>
          <w:rFonts w:ascii="Arial" w:hAnsi="Arial" w:cs="Arial"/>
        </w:rPr>
      </w:pPr>
      <w:r w:rsidRPr="002C7D1B">
        <w:rPr>
          <w:rFonts w:ascii="Arial" w:hAnsi="Arial" w:cs="Arial"/>
        </w:rPr>
        <w:t>Fair Trading Act 1986.</w:t>
      </w:r>
    </w:p>
    <w:p w14:paraId="477FEC15" w14:textId="77777777" w:rsidR="00CC7EB4" w:rsidRPr="002C7D1B" w:rsidRDefault="00CC7EB4" w:rsidP="00CC7EB4">
      <w:pPr>
        <w:spacing w:after="160" w:line="360" w:lineRule="auto"/>
        <w:jc w:val="both"/>
        <w:rPr>
          <w:rFonts w:ascii="Arial" w:hAnsi="Arial" w:cs="Arial"/>
          <w:i/>
          <w:iCs/>
        </w:rPr>
      </w:pPr>
      <w:r w:rsidRPr="002C7D1B">
        <w:rPr>
          <w:rFonts w:ascii="Arial" w:hAnsi="Arial" w:cs="Arial"/>
          <w:i/>
          <w:iCs/>
        </w:rPr>
        <w:t>2       England and Wales</w:t>
      </w:r>
    </w:p>
    <w:p w14:paraId="1190BB19" w14:textId="77777777" w:rsidR="00CC7EB4" w:rsidRPr="002C7D1B" w:rsidRDefault="00CC7EB4" w:rsidP="00CC7EB4">
      <w:pPr>
        <w:spacing w:after="160" w:line="360" w:lineRule="auto"/>
        <w:jc w:val="both"/>
        <w:rPr>
          <w:rFonts w:ascii="Arial" w:hAnsi="Arial" w:cs="Arial"/>
          <w:i/>
          <w:iCs/>
        </w:rPr>
      </w:pPr>
      <w:r w:rsidRPr="002C7D1B">
        <w:rPr>
          <w:rFonts w:ascii="Arial" w:hAnsi="Arial" w:cs="Arial"/>
          <w:lang w:val="en-US"/>
        </w:rPr>
        <w:t>Consumer Rights Act 2015.</w:t>
      </w:r>
    </w:p>
    <w:p w14:paraId="78665CE9" w14:textId="77777777" w:rsidR="00CC7EB4" w:rsidRPr="002C7D1B" w:rsidRDefault="00CC7EB4" w:rsidP="00CC7EB4">
      <w:pPr>
        <w:spacing w:after="160" w:line="360" w:lineRule="auto"/>
        <w:jc w:val="both"/>
        <w:rPr>
          <w:rFonts w:ascii="Arial" w:hAnsi="Arial" w:cs="Arial"/>
          <w:color w:val="212121"/>
          <w:shd w:val="clear" w:color="auto" w:fill="FFFFFF"/>
        </w:rPr>
      </w:pPr>
      <w:r w:rsidRPr="002C7D1B">
        <w:rPr>
          <w:rFonts w:ascii="Arial" w:hAnsi="Arial" w:cs="Arial"/>
          <w:color w:val="212121"/>
          <w:shd w:val="clear" w:color="auto" w:fill="FFFFFF"/>
        </w:rPr>
        <w:t>Unfair Terms in Consumer Contracts Regulations 1999.</w:t>
      </w:r>
    </w:p>
    <w:p w14:paraId="0A0744A5" w14:textId="77777777" w:rsidR="00CC7EB4" w:rsidRPr="002C7D1B" w:rsidRDefault="00CC7EB4" w:rsidP="00CC7EB4">
      <w:pPr>
        <w:spacing w:after="160" w:line="360" w:lineRule="auto"/>
        <w:jc w:val="both"/>
        <w:rPr>
          <w:rFonts w:ascii="Arial" w:hAnsi="Arial" w:cs="Arial"/>
          <w:b/>
          <w:bCs/>
          <w:i/>
          <w:iCs/>
        </w:rPr>
      </w:pPr>
      <w:r w:rsidRPr="002C7D1B">
        <w:rPr>
          <w:rFonts w:ascii="Arial" w:hAnsi="Arial" w:cs="Arial"/>
          <w:b/>
          <w:bCs/>
          <w:i/>
          <w:iCs/>
        </w:rPr>
        <w:t xml:space="preserve">C       Books and Chapters in Books </w:t>
      </w:r>
    </w:p>
    <w:p w14:paraId="53E113EE"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 xml:space="preserve">Yonathan A. Arbel and Samuel Becher “How Smart are Smart Readers? LLMs and the Future of the No-Reading Problem” in Stacy-Ann Elvt and Nancy Kim (eds) </w:t>
      </w:r>
      <w:r w:rsidRPr="001C71C3">
        <w:rPr>
          <w:rFonts w:ascii="Arial" w:hAnsi="Arial" w:cs="Arial"/>
          <w:i/>
          <w:iCs/>
          <w:lang w:val="en-US"/>
        </w:rPr>
        <w:t>The Cambridge Handbook on Emerging Issues at the Intersection of Commercial Law and Technology</w:t>
      </w:r>
      <w:r w:rsidRPr="002C7D1B">
        <w:rPr>
          <w:rFonts w:ascii="Arial" w:hAnsi="Arial" w:cs="Arial"/>
          <w:lang w:val="en-US"/>
        </w:rPr>
        <w:t xml:space="preserve"> (Cambridge University Press, Forthcoming 2024).</w:t>
      </w:r>
    </w:p>
    <w:p w14:paraId="7CC66ED1"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 xml:space="preserve">Omri Ben-Shahar and Carl E. Schneider </w:t>
      </w:r>
      <w:r w:rsidRPr="001C71C3">
        <w:rPr>
          <w:rFonts w:ascii="Arial" w:hAnsi="Arial" w:cs="Arial"/>
          <w:i/>
          <w:iCs/>
          <w:lang w:val="en-US"/>
        </w:rPr>
        <w:t>More Than You Wanted to Know: The Failure of Mandated Disclosure</w:t>
      </w:r>
      <w:r w:rsidRPr="002C7D1B">
        <w:rPr>
          <w:rFonts w:ascii="Arial" w:hAnsi="Arial" w:cs="Arial"/>
          <w:lang w:val="en-US"/>
        </w:rPr>
        <w:t xml:space="preserve"> (Princeton University Press, Princeton, 2014).</w:t>
      </w:r>
    </w:p>
    <w:p w14:paraId="63965490"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 xml:space="preserve">James Devenney “The Consumer Rights Act 2015 and related reforms: an epic disappointment?” in Roger Halson and David Campbell (ed) </w:t>
      </w:r>
      <w:r w:rsidRPr="001C71C3">
        <w:rPr>
          <w:rFonts w:ascii="Arial" w:hAnsi="Arial" w:cs="Arial"/>
          <w:i/>
          <w:iCs/>
          <w:lang w:val="en-US"/>
        </w:rPr>
        <w:t>Research Handbook on Remedies in Private Law</w:t>
      </w:r>
      <w:r w:rsidRPr="002C7D1B">
        <w:rPr>
          <w:rFonts w:ascii="Arial" w:hAnsi="Arial" w:cs="Arial"/>
          <w:lang w:val="en-US"/>
        </w:rPr>
        <w:t xml:space="preserve"> (Edward Elgar Publishing, Cheltenham; Massachusetts, 2019) 257.</w:t>
      </w:r>
    </w:p>
    <w:p w14:paraId="19371645"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 xml:space="preserve">Jodi Gardner “High-cost credit in the UK: A philosophical justification for intervention” in Karen Fairweather, Paul O’Shea and Ross Grantham </w:t>
      </w:r>
      <w:r w:rsidRPr="001C71C3">
        <w:rPr>
          <w:rFonts w:ascii="Arial" w:hAnsi="Arial" w:cs="Arial"/>
          <w:i/>
          <w:iCs/>
          <w:lang w:val="en-US"/>
        </w:rPr>
        <w:t xml:space="preserve">Credit, Consumers and the Law </w:t>
      </w:r>
      <w:r w:rsidRPr="002C7D1B">
        <w:rPr>
          <w:rFonts w:ascii="Arial" w:hAnsi="Arial" w:cs="Arial"/>
          <w:lang w:val="en-US"/>
        </w:rPr>
        <w:t>(Routledge, London, 2016) 132.</w:t>
      </w:r>
    </w:p>
    <w:p w14:paraId="715E1581"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 xml:space="preserve">Edward S. Herman and Noam Chomsky </w:t>
      </w:r>
      <w:r w:rsidRPr="001C71C3">
        <w:rPr>
          <w:rFonts w:ascii="Arial" w:hAnsi="Arial" w:cs="Arial"/>
          <w:i/>
          <w:iCs/>
          <w:lang w:val="en-US"/>
        </w:rPr>
        <w:t xml:space="preserve">Manufacturing Consent: The Political Economy of the Mass Media </w:t>
      </w:r>
      <w:r w:rsidRPr="002C7D1B">
        <w:rPr>
          <w:rFonts w:ascii="Arial" w:hAnsi="Arial" w:cs="Arial"/>
          <w:lang w:val="en-US"/>
        </w:rPr>
        <w:t>(Pantheon Books, New York, 1988).</w:t>
      </w:r>
    </w:p>
    <w:p w14:paraId="416BD7CB"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 xml:space="preserve">Karl N. Llewelyn </w:t>
      </w:r>
      <w:proofErr w:type="gramStart"/>
      <w:r w:rsidRPr="001C71C3">
        <w:rPr>
          <w:rFonts w:ascii="Arial" w:hAnsi="Arial" w:cs="Arial"/>
          <w:i/>
          <w:iCs/>
          <w:lang w:val="en-US"/>
        </w:rPr>
        <w:t>The</w:t>
      </w:r>
      <w:proofErr w:type="gramEnd"/>
      <w:r w:rsidRPr="001C71C3">
        <w:rPr>
          <w:rFonts w:ascii="Arial" w:hAnsi="Arial" w:cs="Arial"/>
          <w:i/>
          <w:iCs/>
          <w:lang w:val="en-US"/>
        </w:rPr>
        <w:t xml:space="preserve"> Common Law Tradition: Deciding Appeals</w:t>
      </w:r>
      <w:r w:rsidRPr="002C7D1B">
        <w:rPr>
          <w:rFonts w:ascii="Arial" w:hAnsi="Arial" w:cs="Arial"/>
          <w:lang w:val="en-US"/>
        </w:rPr>
        <w:t xml:space="preserve"> (Little, Brown and Company, Boston; Toronto, 1960).</w:t>
      </w:r>
    </w:p>
    <w:p w14:paraId="6142702B"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lastRenderedPageBreak/>
        <w:t xml:space="preserve">Margaret Jane Radin </w:t>
      </w:r>
      <w:r w:rsidRPr="001C71C3">
        <w:rPr>
          <w:rFonts w:ascii="Arial" w:hAnsi="Arial" w:cs="Arial"/>
          <w:i/>
          <w:iCs/>
          <w:lang w:val="en-US"/>
        </w:rPr>
        <w:t>Boilerplate: The Fine Print, Vanishing Rights and the Rule of Law</w:t>
      </w:r>
      <w:r w:rsidRPr="002C7D1B">
        <w:rPr>
          <w:rFonts w:ascii="Arial" w:hAnsi="Arial" w:cs="Arial"/>
          <w:lang w:val="en-US"/>
        </w:rPr>
        <w:t xml:space="preserve"> (Princeton University Press, New Jersey, 2013).</w:t>
      </w:r>
    </w:p>
    <w:p w14:paraId="4CD61144"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 xml:space="preserve">Stelios Tofaris “Incorporation and Exemption Clauses in Consumer Contracts: Parker v </w:t>
      </w:r>
      <w:proofErr w:type="gramStart"/>
      <w:r w:rsidRPr="002C7D1B">
        <w:rPr>
          <w:rFonts w:ascii="Arial" w:hAnsi="Arial" w:cs="Arial"/>
          <w:lang w:val="en-US"/>
        </w:rPr>
        <w:t>South Eastern</w:t>
      </w:r>
      <w:proofErr w:type="gramEnd"/>
      <w:r w:rsidRPr="002C7D1B">
        <w:rPr>
          <w:rFonts w:ascii="Arial" w:hAnsi="Arial" w:cs="Arial"/>
          <w:lang w:val="en-US"/>
        </w:rPr>
        <w:t xml:space="preserve"> Railway Company” in Jodi Gardner and Iain Ramsay (ed</w:t>
      </w:r>
      <w:r>
        <w:rPr>
          <w:rFonts w:ascii="Arial" w:hAnsi="Arial" w:cs="Arial"/>
          <w:lang w:val="en-US"/>
        </w:rPr>
        <w:t>s</w:t>
      </w:r>
      <w:r w:rsidRPr="002C7D1B">
        <w:rPr>
          <w:rFonts w:ascii="Arial" w:hAnsi="Arial" w:cs="Arial"/>
          <w:lang w:val="en-US"/>
        </w:rPr>
        <w:t xml:space="preserve">) </w:t>
      </w:r>
      <w:r w:rsidRPr="001C71C3">
        <w:rPr>
          <w:rFonts w:ascii="Arial" w:hAnsi="Arial" w:cs="Arial"/>
          <w:i/>
          <w:iCs/>
          <w:lang w:val="en-US"/>
        </w:rPr>
        <w:t xml:space="preserve">Landmark Cases in Consumer Law </w:t>
      </w:r>
      <w:r w:rsidRPr="002C7D1B">
        <w:rPr>
          <w:rFonts w:ascii="Arial" w:hAnsi="Arial" w:cs="Arial"/>
          <w:lang w:val="en-US"/>
        </w:rPr>
        <w:t>(Hart Publishing, Oxford, 2024) 55 at 57.</w:t>
      </w:r>
    </w:p>
    <w:p w14:paraId="4B6129E8"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 xml:space="preserve">Kate Tokeley “Overview and History of Consumer Law” in Kate Tokeley and Victoria Stace (eds) </w:t>
      </w:r>
      <w:r w:rsidRPr="001C71C3">
        <w:rPr>
          <w:rFonts w:ascii="Arial" w:hAnsi="Arial" w:cs="Arial"/>
          <w:i/>
          <w:iCs/>
          <w:lang w:val="en-US"/>
        </w:rPr>
        <w:t>Consumer Law in New Zealand</w:t>
      </w:r>
      <w:r w:rsidRPr="002C7D1B">
        <w:rPr>
          <w:rFonts w:ascii="Arial" w:hAnsi="Arial" w:cs="Arial"/>
          <w:lang w:val="en-US"/>
        </w:rPr>
        <w:t xml:space="preserve"> (3rd ed, LexisNexis, Wellington, 2022).</w:t>
      </w:r>
    </w:p>
    <w:p w14:paraId="699178B4"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 xml:space="preserve">Thorstein Veblen </w:t>
      </w:r>
      <w:r w:rsidRPr="002C7D1B">
        <w:rPr>
          <w:rFonts w:ascii="Arial" w:hAnsi="Arial" w:cs="Arial"/>
          <w:i/>
          <w:iCs/>
          <w:lang w:val="en-US"/>
        </w:rPr>
        <w:t>The Theory of the Leisure Class: An Economic Study of Institutions</w:t>
      </w:r>
      <w:r w:rsidRPr="002C7D1B">
        <w:rPr>
          <w:rFonts w:ascii="Arial" w:hAnsi="Arial" w:cs="Arial"/>
          <w:lang w:val="en-US"/>
        </w:rPr>
        <w:t xml:space="preserve"> (United States, 1899).</w:t>
      </w:r>
    </w:p>
    <w:p w14:paraId="0CD07FEA" w14:textId="77777777" w:rsidR="00CC7EB4" w:rsidRPr="002C7D1B" w:rsidRDefault="00CC7EB4" w:rsidP="00CC7EB4">
      <w:pPr>
        <w:spacing w:after="160" w:line="360" w:lineRule="auto"/>
        <w:jc w:val="both"/>
        <w:rPr>
          <w:rFonts w:ascii="Arial" w:hAnsi="Arial" w:cs="Arial"/>
          <w:b/>
          <w:bCs/>
          <w:i/>
          <w:iCs/>
        </w:rPr>
      </w:pPr>
      <w:r w:rsidRPr="002C7D1B">
        <w:rPr>
          <w:rFonts w:ascii="Arial" w:hAnsi="Arial" w:cs="Arial"/>
          <w:b/>
          <w:bCs/>
          <w:i/>
          <w:iCs/>
        </w:rPr>
        <w:t>D       Journal Articles</w:t>
      </w:r>
    </w:p>
    <w:p w14:paraId="35C7E46A"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 xml:space="preserve">Douglas G Baird, ‘The Boilerplate Puzzle’ (2006) 104 </w:t>
      </w:r>
      <w:proofErr w:type="gramStart"/>
      <w:r w:rsidRPr="002C7D1B">
        <w:rPr>
          <w:rFonts w:ascii="Arial" w:hAnsi="Arial" w:cs="Arial"/>
          <w:lang w:val="en-US"/>
        </w:rPr>
        <w:t>Mich</w:t>
      </w:r>
      <w:r>
        <w:rPr>
          <w:rFonts w:ascii="Arial" w:hAnsi="Arial" w:cs="Arial"/>
          <w:lang w:val="en-US"/>
        </w:rPr>
        <w:t>.L.Rev</w:t>
      </w:r>
      <w:proofErr w:type="gramEnd"/>
      <w:r w:rsidRPr="002C7D1B">
        <w:rPr>
          <w:rFonts w:ascii="Arial" w:hAnsi="Arial" w:cs="Arial"/>
          <w:lang w:val="en-US"/>
        </w:rPr>
        <w:t xml:space="preserve"> – citing Michael J Trebilcock</w:t>
      </w:r>
      <w:r>
        <w:rPr>
          <w:rFonts w:ascii="Arial" w:hAnsi="Arial" w:cs="Arial"/>
          <w:lang w:val="en-US"/>
        </w:rPr>
        <w:t xml:space="preserve"> </w:t>
      </w:r>
      <w:proofErr w:type="gramStart"/>
      <w:r>
        <w:rPr>
          <w:rFonts w:ascii="Arial" w:hAnsi="Arial" w:cs="Arial"/>
          <w:i/>
          <w:iCs/>
          <w:lang w:val="en-US"/>
        </w:rPr>
        <w:t>T</w:t>
      </w:r>
      <w:r w:rsidRPr="00AF291B">
        <w:rPr>
          <w:rFonts w:ascii="Arial" w:hAnsi="Arial" w:cs="Arial"/>
          <w:i/>
          <w:iCs/>
          <w:lang w:val="en-US"/>
        </w:rPr>
        <w:t>he</w:t>
      </w:r>
      <w:proofErr w:type="gramEnd"/>
      <w:r w:rsidRPr="00AF291B">
        <w:rPr>
          <w:rFonts w:ascii="Arial" w:hAnsi="Arial" w:cs="Arial"/>
          <w:i/>
          <w:iCs/>
          <w:lang w:val="en-US"/>
        </w:rPr>
        <w:t xml:space="preserve"> Limits of Freedom of Contract</w:t>
      </w:r>
      <w:r>
        <w:rPr>
          <w:rFonts w:ascii="Arial" w:hAnsi="Arial" w:cs="Arial"/>
          <w:i/>
          <w:iCs/>
          <w:lang w:val="en-US"/>
        </w:rPr>
        <w:t xml:space="preserve"> </w:t>
      </w:r>
      <w:r w:rsidRPr="002C7D1B">
        <w:rPr>
          <w:rFonts w:ascii="Arial" w:hAnsi="Arial" w:cs="Arial"/>
          <w:lang w:val="en-US"/>
        </w:rPr>
        <w:t>(</w:t>
      </w:r>
      <w:r>
        <w:rPr>
          <w:rFonts w:ascii="Arial" w:hAnsi="Arial" w:cs="Arial"/>
          <w:lang w:val="en-US"/>
        </w:rPr>
        <w:t xml:space="preserve">Harvard University Press, </w:t>
      </w:r>
      <w:r w:rsidRPr="002C7D1B">
        <w:rPr>
          <w:rFonts w:ascii="Arial" w:hAnsi="Arial" w:cs="Arial"/>
          <w:lang w:val="en-US"/>
        </w:rPr>
        <w:t>1993) 79.</w:t>
      </w:r>
    </w:p>
    <w:p w14:paraId="50927705"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 xml:space="preserve">Yannis Bakos, Florencia Marotta-Wurgler and David R. Trossen “Does Anyone Read </w:t>
      </w:r>
      <w:proofErr w:type="gramStart"/>
      <w:r w:rsidRPr="002C7D1B">
        <w:rPr>
          <w:rFonts w:ascii="Arial" w:hAnsi="Arial" w:cs="Arial"/>
          <w:lang w:val="en-US"/>
        </w:rPr>
        <w:t>The</w:t>
      </w:r>
      <w:proofErr w:type="gramEnd"/>
      <w:r w:rsidRPr="002C7D1B">
        <w:rPr>
          <w:rFonts w:ascii="Arial" w:hAnsi="Arial" w:cs="Arial"/>
          <w:lang w:val="en-US"/>
        </w:rPr>
        <w:t xml:space="preserve"> Fine Print? Consumer Attention to Standard Form Contracts” (2014) 43 J. Legal. Stud 1.</w:t>
      </w:r>
    </w:p>
    <w:p w14:paraId="1DECE3B8"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Oren Bar-Gill “Defending (Smart) Disclosure: A Comment on More Than You Wanted to Know” (2015) 11 Jerusalem Rev. Leg. Stud. 75.</w:t>
      </w:r>
    </w:p>
    <w:p w14:paraId="23E8C8B6"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Hugh Beale “Unfair Contracts in Britain and Europe” (1989) 42 Current Legal Problems 197.</w:t>
      </w:r>
    </w:p>
    <w:p w14:paraId="3468B0CE"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Omri Ben-Shahar and Carl E. Schneider “The Failure of Mandated Disclosure” (2011) 159 U. Pa. L. Rev. 647.</w:t>
      </w:r>
    </w:p>
    <w:p w14:paraId="2F539BA4"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Omri Ben-Shahar and Carl E. Schneider “Coping with the Failure of Mandated Disclosure” (2015) 11 Jerusalem Rev. Legal. Stud. 83</w:t>
      </w:r>
    </w:p>
    <w:p w14:paraId="35869D06"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Uri Benoliel and Samuel Becher “The Duty to Read the Unreadable” (2019) 60 B.C.</w:t>
      </w:r>
      <w:proofErr w:type="gramStart"/>
      <w:r w:rsidRPr="002C7D1B">
        <w:rPr>
          <w:rFonts w:ascii="Arial" w:hAnsi="Arial" w:cs="Arial"/>
          <w:lang w:val="en-US"/>
        </w:rPr>
        <w:t>L.Rev</w:t>
      </w:r>
      <w:proofErr w:type="gramEnd"/>
      <w:r w:rsidRPr="002C7D1B">
        <w:rPr>
          <w:rFonts w:ascii="Arial" w:hAnsi="Arial" w:cs="Arial"/>
          <w:lang w:val="en-US"/>
        </w:rPr>
        <w:t xml:space="preserve"> 2255.</w:t>
      </w:r>
    </w:p>
    <w:p w14:paraId="0842BCBC"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Peter Birks “Equity in the Modern Law: An Exercise in Taxonomy” (1996) 26 University of Western Australia Law Review 1.</w:t>
      </w:r>
    </w:p>
    <w:p w14:paraId="034F2BB4"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Simon Blount “Unconscionability in Online Business to Consumer Contracts” 2 ANU JOLT 5 (2021).</w:t>
      </w:r>
    </w:p>
    <w:p w14:paraId="0F4C3CBC"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lastRenderedPageBreak/>
        <w:t>Stephanie Bornstein “The Enforcement Value of Disclosure” (2023) 72 Duke L.J. 1771.</w:t>
      </w:r>
    </w:p>
    <w:p w14:paraId="7AC2AF71"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Ryan Calo “Against Notice Skepticism in Privacy (and Elsewhere)” (2012) 87 Notre Dame L.Rev. 1027.</w:t>
      </w:r>
    </w:p>
    <w:p w14:paraId="19D18D45"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Robert Lee Dickens “Finding Common Ground in the World of Electronic Contracts: The Consistency of Legal Reasoning in Clickwrap Cases” (2007) 11 Intellectual Property L. Rev. 379.</w:t>
      </w:r>
    </w:p>
    <w:p w14:paraId="17255647"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Anne Fleming “The Rise and Fall of Unconscionability as the ‘Law of the Poor’” (2014) 102 Geo. L.J. 1383.</w:t>
      </w:r>
    </w:p>
    <w:p w14:paraId="0E6B9CD7"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Orit Gan “The Many Faces of Contractual Consent” (2017) 65 Drake L. Rev. 615.</w:t>
      </w:r>
    </w:p>
    <w:p w14:paraId="516C9CAD"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Jodi Gardner “Being Conscious of Unconscionability in Modern Times: Heller v Uber Technologies” (2021) 84 Mod. L. Rev. 874.</w:t>
      </w:r>
    </w:p>
    <w:p w14:paraId="4EC37802"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George Gluck “Standard Form Contracts: The Contract Theory Reconsidered” (1979) 28 Int’l &amp; Comp. L. Q 72.</w:t>
      </w:r>
    </w:p>
    <w:p w14:paraId="3BDFB26E"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Sirko Harder “Problems in Interpreting the Unfair Contract Terms Provisions of the Australian Consumer Law” (2011) 34 Aust Bar Rev 306.</w:t>
      </w:r>
    </w:p>
    <w:p w14:paraId="0FCCE74D"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Daniel D. Haun and Eric P. Robinson “Do You Agree? The Psychology and Legalities of Assent to Standard Form Contracts” (2022) 28 Rich. J. L. &amp; Tech 623.</w:t>
      </w:r>
    </w:p>
    <w:p w14:paraId="42D2376F"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 xml:space="preserve">Donald B. King “Standard Form Contracts: A Call for Reality” (2000) 44 St. Louis </w:t>
      </w:r>
      <w:proofErr w:type="gramStart"/>
      <w:r w:rsidRPr="002C7D1B">
        <w:rPr>
          <w:rFonts w:ascii="Arial" w:hAnsi="Arial" w:cs="Arial"/>
          <w:lang w:val="en-US"/>
        </w:rPr>
        <w:t>U .</w:t>
      </w:r>
      <w:proofErr w:type="gramEnd"/>
      <w:r w:rsidRPr="002C7D1B">
        <w:rPr>
          <w:rFonts w:ascii="Arial" w:hAnsi="Arial" w:cs="Arial"/>
          <w:lang w:val="en-US"/>
        </w:rPr>
        <w:t>L.J. 909.</w:t>
      </w:r>
    </w:p>
    <w:p w14:paraId="15A57B96"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Russell Korobkin “Bounded Rationality, Standard Form Contracts, and Unconscionability” (2003) 70 U. Chi. L. Rev. 1203. at 1203.</w:t>
      </w:r>
    </w:p>
    <w:p w14:paraId="0882F04E" w14:textId="77777777" w:rsidR="00CC7EB4" w:rsidRDefault="00CC7EB4" w:rsidP="00CC7EB4">
      <w:pPr>
        <w:spacing w:after="160" w:line="360" w:lineRule="auto"/>
        <w:jc w:val="both"/>
        <w:rPr>
          <w:rFonts w:ascii="Arial" w:hAnsi="Arial" w:cs="Arial"/>
          <w:lang w:val="en-US"/>
        </w:rPr>
      </w:pPr>
      <w:r w:rsidRPr="002C7D1B">
        <w:rPr>
          <w:rFonts w:ascii="Arial" w:hAnsi="Arial" w:cs="Arial"/>
          <w:lang w:val="en-US"/>
        </w:rPr>
        <w:t>Chunlin Leonhard “The Unbearable Lightness of Consent in Contract Law” (2012) 63 Case W. Rsrv. L. Rev. 57.</w:t>
      </w:r>
    </w:p>
    <w:p w14:paraId="22498667"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 xml:space="preserve">Ying Khai Liew and Debbie Yu “The Unconscionable Bargains Doctrine in England and Australia: Cousins or Siblings? (2021) 45 </w:t>
      </w:r>
      <w:r>
        <w:rPr>
          <w:rFonts w:ascii="Arial" w:hAnsi="Arial" w:cs="Arial"/>
          <w:lang w:val="en-US"/>
        </w:rPr>
        <w:t>MULR</w:t>
      </w:r>
      <w:r w:rsidRPr="002C7D1B">
        <w:rPr>
          <w:rFonts w:ascii="Arial" w:hAnsi="Arial" w:cs="Arial"/>
          <w:lang w:val="en-US"/>
        </w:rPr>
        <w:t xml:space="preserve"> 206.</w:t>
      </w:r>
    </w:p>
    <w:p w14:paraId="79B5DB61"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George Loewenstein, Cass R. Sunstein, and Russell Golman “Disclosure: Psychology Changes Everything” (2014) 6 Annu. Rev. Econ. 391.</w:t>
      </w:r>
    </w:p>
    <w:p w14:paraId="50AE20C2"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lastRenderedPageBreak/>
        <w:t>Jamie Luguri and and Lior Jacob Strahilevitz “Shining a Light on Dark Patterns” (2021) 13 Journal of Legal Analysis 43.</w:t>
      </w:r>
    </w:p>
    <w:p w14:paraId="432B8A5E"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Florencia Marotta-Wurgler “What’s in a Standard Form Contract? An Empirical Analysis of Software License Agreements” (2007) 4 Journal of Empirical Legal Studies 677.</w:t>
      </w:r>
    </w:p>
    <w:p w14:paraId="78681475"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Florencia Marotta-Wurgler “Does Contract Disclosure Matter?” (2012) 168 JITE 94.</w:t>
      </w:r>
    </w:p>
    <w:p w14:paraId="4BE5C450"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Florencia Marotta-Wurgler “Even More Than You Wanted to Know About the Failures of Disclosure” (2015) 11 Jerusalem Rev. Legal. Stud. 63.</w:t>
      </w:r>
    </w:p>
    <w:p w14:paraId="48A91BFC"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Henry Materne-Smith “All is fair in love and remote indigenous communities? ASIC v Kobelt (2019) 368 ALR 1” (2020) 41 AdelLawRw 325.</w:t>
      </w:r>
    </w:p>
    <w:p w14:paraId="1AA3741B"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Aleecia M. McDonald and Lorrie Faith Cranor “The Cost of Reading Privacy Policies” (2008) 4 I/S: A Journal of Law and Policy for the Information Society 540.</w:t>
      </w:r>
    </w:p>
    <w:p w14:paraId="0BA9F652"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Marcus Moore “Controlling Fairness in Standard Form Contracts: What Can Courts Do, and What Should They Do?” (2022) 55 UBC L Rev 547.</w:t>
      </w:r>
    </w:p>
    <w:p w14:paraId="125B5859"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Rob Nicholls “Informed Consent to Online Standard Form Agreements” (2022) 3 GPLR 163.</w:t>
      </w:r>
    </w:p>
    <w:p w14:paraId="5558F66B"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Nathan. B Oman “Reconsidering contractual consent: why we shouldn’t worry too much about boilerplate and other puzzles” (2017) 83 Brook. L. Rev 215 at 249.</w:t>
      </w:r>
    </w:p>
    <w:p w14:paraId="50F24787"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Trish O’Sullivan “Online Shopping Terms and Conditions in Practice: Validity of Incorporation and Unfairness” (2014) 20 Canterbury. L. Rev. 1.</w:t>
      </w:r>
    </w:p>
    <w:p w14:paraId="79AEEC04"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Jeannie Marie Paterson, Elise Bant and Matthew Clare “Doctrine, policy, culture and choice in assessing unconscionable conduct under statute: ASIC v Kobelt” (2020) 13 Eq 81.</w:t>
      </w:r>
    </w:p>
    <w:p w14:paraId="46A15DD3"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Ariel Porat and Lior Jacob Strahilevitz “Personalizing Default Rules and Disclosure with Big Data” (2014) 112 Mich.L.Rev. 1417.</w:t>
      </w:r>
    </w:p>
    <w:p w14:paraId="3799319B"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Roscoe Pound “Liberty of Contract” (1909) 18 Yale LJ 454.</w:t>
      </w:r>
    </w:p>
    <w:p w14:paraId="0B10EBDE"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Margaret Radin “Humans, Computers, and Binding Commitment” (2000) 75 Ind.L.J. 1125.</w:t>
      </w:r>
    </w:p>
    <w:p w14:paraId="23354DFC"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lastRenderedPageBreak/>
        <w:t xml:space="preserve">Margaret Radin “Less Than I Wanted </w:t>
      </w:r>
      <w:proofErr w:type="gramStart"/>
      <w:r w:rsidRPr="002C7D1B">
        <w:rPr>
          <w:rFonts w:ascii="Arial" w:hAnsi="Arial" w:cs="Arial"/>
          <w:lang w:val="en-US"/>
        </w:rPr>
        <w:t>To</w:t>
      </w:r>
      <w:proofErr w:type="gramEnd"/>
      <w:r w:rsidRPr="002C7D1B">
        <w:rPr>
          <w:rFonts w:ascii="Arial" w:hAnsi="Arial" w:cs="Arial"/>
          <w:lang w:val="en-US"/>
        </w:rPr>
        <w:t xml:space="preserve"> Know: The Submerged Issues in More Than I Wanted </w:t>
      </w:r>
      <w:proofErr w:type="gramStart"/>
      <w:r w:rsidRPr="002C7D1B">
        <w:rPr>
          <w:rFonts w:ascii="Arial" w:hAnsi="Arial" w:cs="Arial"/>
          <w:lang w:val="en-US"/>
        </w:rPr>
        <w:t>To</w:t>
      </w:r>
      <w:proofErr w:type="gramEnd"/>
      <w:r w:rsidRPr="002C7D1B">
        <w:rPr>
          <w:rFonts w:ascii="Arial" w:hAnsi="Arial" w:cs="Arial"/>
          <w:lang w:val="en-US"/>
        </w:rPr>
        <w:t xml:space="preserve"> Know” (2015) 11 Jerusalem Rev. Legal. Stud. 51.</w:t>
      </w:r>
    </w:p>
    <w:p w14:paraId="4EFD8813"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Margaret Jane Radin “The Deformation of Contract in the Information Society” (2017) 37 Oxf. J. Leg. Stud 505.</w:t>
      </w:r>
    </w:p>
    <w:p w14:paraId="6F5A1E56"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Todd D. Rakoff “Contracts of Adhesion: An Essay in Reconstruction” (1983) 96 Harv. Law. Rev 1173.</w:t>
      </w:r>
    </w:p>
    <w:p w14:paraId="6F4AB67C"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Daniel W. Richards and Maryam Safari “Disclosure effectiveness in the financial planning industry” (2020) 13 QRFM 672.</w:t>
      </w:r>
    </w:p>
    <w:p w14:paraId="2047ACCF"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Neil Richards and Woodrow Hartzog “The Pathologies of Digital Consent” (2019) 96 Wash. U. L. Rev. 1461.</w:t>
      </w:r>
    </w:p>
    <w:p w14:paraId="78BD3B1E"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Alan Schwartz and Louis L. Wilde “Intervening in Markets on the Basis of Imperfect Information: A Legal and Economic Analysis” (1979) 127 U. Pa. L. Rev. 630.</w:t>
      </w:r>
    </w:p>
    <w:p w14:paraId="0E91D767"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W. David Slawson “Standard Form Contracts and Democratic Control of Lawmaking Power” (1971) 84 Harv. Law Rev 529.</w:t>
      </w:r>
    </w:p>
    <w:p w14:paraId="0C01344E"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 xml:space="preserve">Joseph Spooner “Contract Law When the Poor Pay More” (2024) </w:t>
      </w:r>
      <w:r>
        <w:rPr>
          <w:rFonts w:ascii="Arial" w:hAnsi="Arial" w:cs="Arial"/>
          <w:lang w:val="en-US"/>
        </w:rPr>
        <w:t xml:space="preserve">gqae002 </w:t>
      </w:r>
      <w:r w:rsidRPr="002C7D1B">
        <w:rPr>
          <w:rFonts w:ascii="Arial" w:hAnsi="Arial" w:cs="Arial"/>
          <w:lang w:val="en-US"/>
        </w:rPr>
        <w:t>Oxf. J. Leg. Stud.</w:t>
      </w:r>
    </w:p>
    <w:p w14:paraId="25405C6B" w14:textId="77777777" w:rsidR="00CC7EB4" w:rsidRPr="002C7D1B" w:rsidRDefault="00CC7EB4" w:rsidP="00CC7EB4">
      <w:pPr>
        <w:spacing w:after="160" w:line="360" w:lineRule="auto"/>
        <w:jc w:val="both"/>
        <w:rPr>
          <w:rFonts w:ascii="Arial" w:hAnsi="Arial" w:cs="Arial"/>
          <w:lang w:val="en-US"/>
        </w:rPr>
      </w:pPr>
      <w:r w:rsidRPr="002C7D1B">
        <w:rPr>
          <w:rFonts w:ascii="Arial" w:hAnsi="Arial" w:cs="Arial"/>
          <w:lang w:val="en-US"/>
        </w:rPr>
        <w:t>Victoria Stace, Emily Chan and Alexandra Sims “New Zealand’s Unfair Contract Terms Law Fails to Incentivise Businesses to Remove Potentially Unfair Terms from Standard Form Contracts” (2020) CCLJ 235.</w:t>
      </w:r>
    </w:p>
    <w:p w14:paraId="312644AC" w14:textId="77777777" w:rsidR="00CC7EB4" w:rsidRPr="002C7D1B" w:rsidRDefault="00CC7EB4" w:rsidP="00CC7EB4">
      <w:pPr>
        <w:spacing w:after="160" w:line="360" w:lineRule="auto"/>
        <w:jc w:val="both"/>
        <w:rPr>
          <w:rFonts w:ascii="Arial" w:hAnsi="Arial" w:cs="Arial"/>
          <w:b/>
          <w:bCs/>
          <w:i/>
          <w:iCs/>
        </w:rPr>
      </w:pPr>
      <w:r w:rsidRPr="002C7D1B">
        <w:rPr>
          <w:rFonts w:ascii="Arial" w:hAnsi="Arial" w:cs="Arial"/>
          <w:b/>
          <w:bCs/>
          <w:i/>
          <w:iCs/>
        </w:rPr>
        <w:t>E       Parliamentary and Government Material</w:t>
      </w:r>
    </w:p>
    <w:p w14:paraId="24253F1F" w14:textId="77777777" w:rsidR="00CC7EB4" w:rsidRPr="002C7D1B" w:rsidRDefault="00CC7EB4" w:rsidP="00CC7EB4">
      <w:pPr>
        <w:spacing w:after="160" w:line="360" w:lineRule="auto"/>
        <w:jc w:val="both"/>
        <w:rPr>
          <w:rFonts w:ascii="Arial" w:hAnsi="Arial" w:cs="Arial"/>
        </w:rPr>
      </w:pPr>
      <w:r w:rsidRPr="002C7D1B">
        <w:rPr>
          <w:rFonts w:ascii="Arial" w:hAnsi="Arial" w:cs="Arial"/>
        </w:rPr>
        <w:t>(10 December 2013) 695 NZPD 15394.</w:t>
      </w:r>
    </w:p>
    <w:p w14:paraId="43F34A6C" w14:textId="77777777" w:rsidR="00CC7EB4" w:rsidRPr="002C7D1B" w:rsidRDefault="00CC7EB4" w:rsidP="00CC7EB4">
      <w:pPr>
        <w:spacing w:after="160" w:line="360" w:lineRule="auto"/>
        <w:jc w:val="both"/>
        <w:rPr>
          <w:rFonts w:ascii="Arial" w:hAnsi="Arial" w:cs="Arial"/>
        </w:rPr>
      </w:pPr>
      <w:r w:rsidRPr="002C7D1B">
        <w:rPr>
          <w:rFonts w:ascii="Arial" w:hAnsi="Arial" w:cs="Arial"/>
        </w:rPr>
        <w:t>(12 February 2020) 744 NZPD 16183.</w:t>
      </w:r>
    </w:p>
    <w:p w14:paraId="677AF9FB" w14:textId="77777777" w:rsidR="00CC7EB4" w:rsidRPr="002C7D1B" w:rsidRDefault="00CC7EB4" w:rsidP="00CC7EB4">
      <w:pPr>
        <w:spacing w:after="160" w:line="360" w:lineRule="auto"/>
        <w:jc w:val="both"/>
        <w:rPr>
          <w:rFonts w:ascii="Arial" w:hAnsi="Arial" w:cs="Arial"/>
        </w:rPr>
      </w:pPr>
      <w:r w:rsidRPr="002C7D1B">
        <w:rPr>
          <w:rFonts w:ascii="Arial" w:hAnsi="Arial" w:cs="Arial"/>
        </w:rPr>
        <w:t>(3 August 2021) 753 NZPD 4227.</w:t>
      </w:r>
    </w:p>
    <w:p w14:paraId="73D50FD6" w14:textId="77777777" w:rsidR="00CC7EB4" w:rsidRDefault="00CC7EB4" w:rsidP="00CC7EB4">
      <w:pPr>
        <w:spacing w:after="160" w:line="360" w:lineRule="auto"/>
        <w:jc w:val="both"/>
        <w:rPr>
          <w:rFonts w:ascii="Arial" w:hAnsi="Arial" w:cs="Arial"/>
        </w:rPr>
      </w:pPr>
      <w:r w:rsidRPr="002C7D1B">
        <w:rPr>
          <w:rFonts w:ascii="Arial" w:hAnsi="Arial" w:cs="Arial"/>
        </w:rPr>
        <w:t>(10 August 2021) 754 NZPD 4418.</w:t>
      </w:r>
    </w:p>
    <w:p w14:paraId="4FCD7608" w14:textId="77777777" w:rsidR="00CC7EB4" w:rsidRDefault="00CC7EB4" w:rsidP="00CC7EB4">
      <w:pPr>
        <w:spacing w:after="160" w:line="360" w:lineRule="auto"/>
        <w:jc w:val="both"/>
        <w:rPr>
          <w:rFonts w:ascii="Arial" w:hAnsi="Arial" w:cs="Arial"/>
        </w:rPr>
      </w:pPr>
      <w:r w:rsidRPr="002C7D1B">
        <w:rPr>
          <w:rFonts w:ascii="Arial" w:hAnsi="Arial" w:cs="Arial"/>
        </w:rPr>
        <w:t xml:space="preserve">Ministry of Consumer Affairs </w:t>
      </w:r>
      <w:r w:rsidRPr="002C7D1B">
        <w:rPr>
          <w:rFonts w:ascii="Arial" w:hAnsi="Arial" w:cs="Arial"/>
          <w:i/>
          <w:iCs/>
        </w:rPr>
        <w:t xml:space="preserve">Consumer Law Reform Additional Paper – September 2010 Unfair Contract Terms </w:t>
      </w:r>
      <w:r w:rsidRPr="002C7D1B">
        <w:rPr>
          <w:rFonts w:ascii="Arial" w:hAnsi="Arial" w:cs="Arial"/>
        </w:rPr>
        <w:t>(September 2010).</w:t>
      </w:r>
    </w:p>
    <w:p w14:paraId="18360353" w14:textId="77777777" w:rsidR="00CC7EB4" w:rsidRPr="002C7D1B" w:rsidRDefault="00CC7EB4" w:rsidP="00CC7EB4">
      <w:pPr>
        <w:spacing w:after="160" w:line="360" w:lineRule="auto"/>
        <w:jc w:val="both"/>
        <w:rPr>
          <w:rFonts w:ascii="Arial" w:hAnsi="Arial" w:cs="Arial"/>
        </w:rPr>
      </w:pPr>
      <w:r w:rsidRPr="002C7D1B">
        <w:rPr>
          <w:rFonts w:ascii="Arial" w:hAnsi="Arial" w:cs="Arial"/>
        </w:rPr>
        <w:lastRenderedPageBreak/>
        <w:t xml:space="preserve">Ministry of Consumer Affairs </w:t>
      </w:r>
      <w:r w:rsidRPr="002C7D1B">
        <w:rPr>
          <w:rFonts w:ascii="Arial" w:hAnsi="Arial" w:cs="Arial"/>
          <w:i/>
          <w:iCs/>
        </w:rPr>
        <w:t xml:space="preserve">Briefing for Commerce Committee on Consumer Law Reform Bill: Including Unfair Contract Term Provisions in the Fair Trading Act </w:t>
      </w:r>
      <w:r w:rsidRPr="002C7D1B">
        <w:rPr>
          <w:rFonts w:ascii="Arial" w:hAnsi="Arial" w:cs="Arial"/>
        </w:rPr>
        <w:t>(Document MED 012, 2012)</w:t>
      </w:r>
    </w:p>
    <w:p w14:paraId="6B2A48A3" w14:textId="77777777" w:rsidR="00CC7EB4" w:rsidRPr="002C7D1B" w:rsidRDefault="00CC7EB4" w:rsidP="00CC7EB4">
      <w:pPr>
        <w:spacing w:after="160" w:line="360" w:lineRule="auto"/>
        <w:jc w:val="both"/>
        <w:rPr>
          <w:rFonts w:ascii="Arial" w:hAnsi="Arial" w:cs="Arial"/>
          <w:b/>
          <w:bCs/>
          <w:i/>
          <w:iCs/>
        </w:rPr>
      </w:pPr>
      <w:r w:rsidRPr="002C7D1B">
        <w:rPr>
          <w:rFonts w:ascii="Arial" w:hAnsi="Arial" w:cs="Arial"/>
          <w:b/>
          <w:bCs/>
          <w:i/>
          <w:iCs/>
        </w:rPr>
        <w:t>F       Reports</w:t>
      </w:r>
    </w:p>
    <w:p w14:paraId="50318BFA" w14:textId="77777777" w:rsidR="00CC7EB4" w:rsidRPr="002C7D1B" w:rsidRDefault="00CC7EB4" w:rsidP="00CC7EB4">
      <w:pPr>
        <w:spacing w:after="160" w:line="360" w:lineRule="auto"/>
        <w:jc w:val="both"/>
        <w:rPr>
          <w:rFonts w:ascii="Arial" w:hAnsi="Arial" w:cs="Arial"/>
        </w:rPr>
      </w:pPr>
      <w:r w:rsidRPr="002C7D1B">
        <w:rPr>
          <w:rFonts w:ascii="Arial" w:hAnsi="Arial" w:cs="Arial"/>
        </w:rPr>
        <w:t>Howard Beales, Richard Craswell, and Steven Salop “Information Remedies for Consumer Protection” (Working Paper No. 36, FTC Bureau of Economics, August 1980).</w:t>
      </w:r>
    </w:p>
    <w:p w14:paraId="17D3CBEA" w14:textId="77777777" w:rsidR="00CC7EB4" w:rsidRPr="002C7D1B" w:rsidRDefault="00CC7EB4" w:rsidP="00CC7EB4">
      <w:pPr>
        <w:spacing w:after="160" w:line="360" w:lineRule="auto"/>
        <w:jc w:val="both"/>
        <w:rPr>
          <w:rFonts w:ascii="Arial" w:hAnsi="Arial" w:cs="Arial"/>
          <w:b/>
          <w:bCs/>
          <w:i/>
          <w:iCs/>
        </w:rPr>
      </w:pPr>
      <w:r w:rsidRPr="002C7D1B">
        <w:rPr>
          <w:rFonts w:ascii="Arial" w:hAnsi="Arial" w:cs="Arial"/>
        </w:rPr>
        <w:t xml:space="preserve">Archon Fung and others “The Political Economy of Transparency: What makes disclosure policies effective?” (Ash Institute for Democratic Governance and Innovation, Harvard University, December 2004) </w:t>
      </w:r>
      <w:r w:rsidRPr="002C7D1B">
        <w:rPr>
          <w:rFonts w:ascii="Arial" w:hAnsi="Arial" w:cs="Arial"/>
          <w:lang w:val="en-US"/>
        </w:rPr>
        <w:t>at 29.</w:t>
      </w:r>
    </w:p>
    <w:p w14:paraId="33429E89" w14:textId="77777777" w:rsidR="00CC7EB4" w:rsidRPr="002C7D1B" w:rsidRDefault="00CC7EB4" w:rsidP="00CC7EB4">
      <w:pPr>
        <w:spacing w:after="160" w:line="360" w:lineRule="auto"/>
        <w:jc w:val="both"/>
        <w:rPr>
          <w:rFonts w:ascii="Arial" w:hAnsi="Arial" w:cs="Arial"/>
          <w:b/>
          <w:bCs/>
          <w:i/>
          <w:iCs/>
        </w:rPr>
      </w:pPr>
      <w:r w:rsidRPr="002C7D1B">
        <w:rPr>
          <w:rFonts w:ascii="Arial" w:hAnsi="Arial" w:cs="Arial"/>
          <w:b/>
          <w:bCs/>
          <w:i/>
          <w:iCs/>
        </w:rPr>
        <w:t>G       Dissertations</w:t>
      </w:r>
    </w:p>
    <w:p w14:paraId="1DC8AF09" w14:textId="77777777" w:rsidR="00CC7EB4" w:rsidRPr="002C7D1B" w:rsidRDefault="00CC7EB4" w:rsidP="00CC7EB4">
      <w:pPr>
        <w:spacing w:after="160" w:line="360" w:lineRule="auto"/>
        <w:jc w:val="both"/>
        <w:rPr>
          <w:rFonts w:ascii="Arial" w:hAnsi="Arial" w:cs="Arial"/>
          <w:b/>
          <w:bCs/>
        </w:rPr>
      </w:pPr>
      <w:r w:rsidRPr="002C7D1B">
        <w:rPr>
          <w:rFonts w:ascii="Arial" w:hAnsi="Arial" w:cs="Arial"/>
        </w:rPr>
        <w:t>Sean Chan “</w:t>
      </w:r>
      <w:r w:rsidRPr="002C7D1B">
        <w:rPr>
          <w:rFonts w:ascii="Arial" w:hAnsi="Arial" w:cs="Arial"/>
          <w:lang w:val="en-US"/>
        </w:rPr>
        <w:t>Future Proof Doctrine or Relic of an Equitable Past? Unconscionable Conduct in the Fair Trading Amendment Act 2021” (LLB (Hons) Dissertation, Te Herenga Waka – Victoria University of Wellington, 2021).</w:t>
      </w:r>
    </w:p>
    <w:p w14:paraId="36EFA7C3" w14:textId="77777777" w:rsidR="00CC7EB4" w:rsidRPr="002C7D1B" w:rsidRDefault="00CC7EB4" w:rsidP="00CC7EB4">
      <w:pPr>
        <w:spacing w:after="160" w:line="360" w:lineRule="auto"/>
        <w:jc w:val="both"/>
        <w:rPr>
          <w:rFonts w:ascii="Arial" w:hAnsi="Arial" w:cs="Arial"/>
          <w:b/>
          <w:bCs/>
          <w:i/>
          <w:iCs/>
        </w:rPr>
      </w:pPr>
      <w:r w:rsidRPr="002C7D1B">
        <w:rPr>
          <w:rFonts w:ascii="Arial" w:hAnsi="Arial" w:cs="Arial"/>
          <w:b/>
          <w:bCs/>
          <w:i/>
          <w:iCs/>
        </w:rPr>
        <w:t>H       Internet resources</w:t>
      </w:r>
    </w:p>
    <w:p w14:paraId="2303C639" w14:textId="77777777" w:rsidR="00CC7EB4" w:rsidRPr="002C7D1B" w:rsidRDefault="00CC7EB4" w:rsidP="00CC7EB4">
      <w:pPr>
        <w:spacing w:after="160" w:line="360" w:lineRule="auto"/>
        <w:jc w:val="both"/>
        <w:rPr>
          <w:rFonts w:ascii="Arial" w:hAnsi="Arial" w:cs="Arial"/>
        </w:rPr>
      </w:pPr>
      <w:r w:rsidRPr="002C7D1B">
        <w:rPr>
          <w:rFonts w:ascii="Arial" w:hAnsi="Arial" w:cs="Arial"/>
        </w:rPr>
        <w:t xml:space="preserve">Deceptive Patterns “Types of deceptive pattern” </w:t>
      </w:r>
      <w:hyperlink r:id="rId9" w:history="1">
        <w:r w:rsidRPr="002C7D1B">
          <w:rPr>
            <w:rStyle w:val="Hyperlink"/>
            <w:rFonts w:ascii="Arial" w:hAnsi="Arial" w:cs="Arial"/>
          </w:rPr>
          <w:t>www.deceptive.design</w:t>
        </w:r>
      </w:hyperlink>
      <w:r w:rsidRPr="002C7D1B">
        <w:rPr>
          <w:rFonts w:ascii="Arial" w:hAnsi="Arial" w:cs="Arial"/>
        </w:rPr>
        <w:t>.</w:t>
      </w:r>
    </w:p>
    <w:p w14:paraId="62D83F23" w14:textId="77777777" w:rsidR="00CC7EB4" w:rsidRPr="002C7D1B" w:rsidRDefault="00CC7EB4" w:rsidP="00CC7EB4">
      <w:pPr>
        <w:spacing w:after="160" w:line="360" w:lineRule="auto"/>
        <w:jc w:val="both"/>
        <w:rPr>
          <w:rFonts w:ascii="Arial" w:hAnsi="Arial" w:cs="Arial"/>
        </w:rPr>
      </w:pPr>
      <w:r w:rsidRPr="002C7D1B">
        <w:rPr>
          <w:rFonts w:ascii="Arial" w:hAnsi="Arial" w:cs="Arial"/>
        </w:rPr>
        <w:t xml:space="preserve">Discord “Discord’s Terms of Service” </w:t>
      </w:r>
      <w:hyperlink r:id="rId10" w:history="1">
        <w:r w:rsidRPr="002C7D1B">
          <w:rPr>
            <w:rStyle w:val="Hyperlink"/>
            <w:rFonts w:ascii="Arial" w:hAnsi="Arial" w:cs="Arial"/>
          </w:rPr>
          <w:t>https://discord.com</w:t>
        </w:r>
      </w:hyperlink>
      <w:r w:rsidRPr="002C7D1B">
        <w:rPr>
          <w:rFonts w:ascii="Arial" w:hAnsi="Arial" w:cs="Arial"/>
        </w:rPr>
        <w:t>.</w:t>
      </w:r>
    </w:p>
    <w:p w14:paraId="1CFB1807" w14:textId="77777777" w:rsidR="00CC7EB4" w:rsidRPr="002C7D1B" w:rsidRDefault="00CC7EB4" w:rsidP="00CC7EB4">
      <w:pPr>
        <w:spacing w:after="160" w:line="360" w:lineRule="auto"/>
        <w:jc w:val="both"/>
        <w:rPr>
          <w:rFonts w:ascii="Arial" w:hAnsi="Arial" w:cs="Arial"/>
        </w:rPr>
      </w:pPr>
      <w:r w:rsidRPr="002C7D1B">
        <w:rPr>
          <w:rFonts w:ascii="Arial" w:hAnsi="Arial" w:cs="Arial"/>
        </w:rPr>
        <w:t xml:space="preserve">John Edwards (in his capacity as Privacy Commissioner) “Click to consent? Not good enough anymore” (2 September 2019) Office of the Privacy Commissioner </w:t>
      </w:r>
      <w:hyperlink r:id="rId11" w:history="1">
        <w:r w:rsidRPr="002C7D1B">
          <w:rPr>
            <w:rStyle w:val="Hyperlink"/>
            <w:rFonts w:ascii="Arial" w:hAnsi="Arial" w:cs="Arial"/>
          </w:rPr>
          <w:t>www.privacy.org.nz</w:t>
        </w:r>
      </w:hyperlink>
      <w:r w:rsidRPr="002C7D1B">
        <w:rPr>
          <w:rFonts w:ascii="Arial" w:hAnsi="Arial" w:cs="Arial"/>
        </w:rPr>
        <w:t>.</w:t>
      </w:r>
    </w:p>
    <w:p w14:paraId="67D5971D" w14:textId="77777777" w:rsidR="00CC7EB4" w:rsidRDefault="00CC7EB4" w:rsidP="00CC7EB4">
      <w:pPr>
        <w:spacing w:after="160" w:line="360" w:lineRule="auto"/>
        <w:jc w:val="both"/>
        <w:rPr>
          <w:rFonts w:ascii="Arial" w:hAnsi="Arial" w:cs="Arial"/>
        </w:rPr>
      </w:pPr>
      <w:r w:rsidRPr="002C7D1B">
        <w:rPr>
          <w:rFonts w:ascii="Arial" w:hAnsi="Arial" w:cs="Arial"/>
        </w:rPr>
        <w:t xml:space="preserve">Cherie Lacey and Alex Beattie “Websites using ‘dark patterns’ to manipulate users – is it time to regulate?” (15 October 2021) RNZ </w:t>
      </w:r>
      <w:hyperlink r:id="rId12" w:history="1">
        <w:r w:rsidRPr="002C7D1B">
          <w:rPr>
            <w:rStyle w:val="Hyperlink"/>
            <w:rFonts w:ascii="Arial" w:hAnsi="Arial" w:cs="Arial"/>
          </w:rPr>
          <w:t>www.rnz.co.nz</w:t>
        </w:r>
      </w:hyperlink>
      <w:r w:rsidRPr="002C7D1B">
        <w:rPr>
          <w:rFonts w:ascii="Arial" w:hAnsi="Arial" w:cs="Arial"/>
        </w:rPr>
        <w:t>.</w:t>
      </w:r>
    </w:p>
    <w:p w14:paraId="081313D2" w14:textId="77777777" w:rsidR="00CC7EB4" w:rsidRPr="00587146" w:rsidRDefault="00CC7EB4" w:rsidP="00CC7EB4">
      <w:pPr>
        <w:spacing w:after="160" w:line="360" w:lineRule="auto"/>
        <w:jc w:val="both"/>
        <w:rPr>
          <w:rFonts w:ascii="Arial" w:hAnsi="Arial" w:cs="Arial"/>
          <w:lang w:val="en-US"/>
        </w:rPr>
      </w:pPr>
      <w:r w:rsidRPr="002C7D1B">
        <w:rPr>
          <w:rFonts w:ascii="Arial" w:hAnsi="Arial" w:cs="Arial"/>
          <w:lang w:val="en-US"/>
        </w:rPr>
        <w:t xml:space="preserve">Commerce Commission “Unfair contract terms reviews” (last updated 2023) </w:t>
      </w:r>
      <w:hyperlink r:id="rId13" w:history="1">
        <w:r w:rsidRPr="002C7D1B">
          <w:rPr>
            <w:rStyle w:val="Hyperlink"/>
            <w:rFonts w:ascii="Arial" w:hAnsi="Arial" w:cs="Arial"/>
            <w:lang w:val="en-US"/>
          </w:rPr>
          <w:t>https://comcom.govt.nz</w:t>
        </w:r>
      </w:hyperlink>
      <w:r w:rsidRPr="002C7D1B">
        <w:rPr>
          <w:rFonts w:ascii="Arial" w:hAnsi="Arial" w:cs="Arial"/>
          <w:lang w:val="en-US"/>
        </w:rPr>
        <w:t>.</w:t>
      </w:r>
    </w:p>
    <w:p w14:paraId="5EEC226C" w14:textId="77777777" w:rsidR="00CC7EB4" w:rsidRPr="002C7D1B" w:rsidRDefault="00CC7EB4" w:rsidP="00CC7EB4">
      <w:pPr>
        <w:spacing w:after="160" w:line="360" w:lineRule="auto"/>
        <w:jc w:val="both"/>
        <w:rPr>
          <w:rFonts w:ascii="Arial" w:hAnsi="Arial" w:cs="Arial"/>
          <w:color w:val="000000"/>
        </w:rPr>
      </w:pPr>
      <w:r w:rsidRPr="002C7D1B">
        <w:rPr>
          <w:rFonts w:ascii="Arial" w:hAnsi="Arial" w:cs="Arial"/>
          <w:color w:val="000000"/>
        </w:rPr>
        <w:t xml:space="preserve">Kevin Litman-Navarro “We Read 150 Privacy Policies. They Were an Incomprehensible Disaster” (2019) The New York Times </w:t>
      </w:r>
      <w:hyperlink r:id="rId14" w:history="1">
        <w:r w:rsidRPr="002C7D1B">
          <w:rPr>
            <w:rStyle w:val="Hyperlink"/>
            <w:rFonts w:ascii="Arial" w:hAnsi="Arial" w:cs="Arial"/>
          </w:rPr>
          <w:t>http://www.nytimes.com</w:t>
        </w:r>
      </w:hyperlink>
      <w:r w:rsidRPr="002C7D1B">
        <w:rPr>
          <w:rFonts w:ascii="Arial" w:hAnsi="Arial" w:cs="Arial"/>
          <w:color w:val="000000"/>
        </w:rPr>
        <w:t>.</w:t>
      </w:r>
    </w:p>
    <w:p w14:paraId="23F17FD9" w14:textId="77777777" w:rsidR="00CC7EB4" w:rsidRDefault="00CC7EB4" w:rsidP="00CC7EB4">
      <w:pPr>
        <w:spacing w:after="160" w:line="360" w:lineRule="auto"/>
        <w:jc w:val="both"/>
        <w:rPr>
          <w:rFonts w:ascii="Arial" w:hAnsi="Arial" w:cs="Arial"/>
        </w:rPr>
      </w:pPr>
      <w:r w:rsidRPr="002C7D1B">
        <w:rPr>
          <w:rFonts w:ascii="Arial" w:hAnsi="Arial" w:cs="Arial"/>
        </w:rPr>
        <w:t xml:space="preserve">MBIE “New Zealand Consumer Survey 2022” (2022) </w:t>
      </w:r>
      <w:hyperlink r:id="rId15" w:history="1">
        <w:r w:rsidRPr="002C7D1B">
          <w:rPr>
            <w:rStyle w:val="Hyperlink"/>
            <w:rFonts w:ascii="Arial" w:hAnsi="Arial" w:cs="Arial"/>
          </w:rPr>
          <w:t>www.mbie.govt.nz</w:t>
        </w:r>
      </w:hyperlink>
      <w:r w:rsidRPr="002C7D1B">
        <w:rPr>
          <w:rFonts w:ascii="Arial" w:hAnsi="Arial" w:cs="Arial"/>
        </w:rPr>
        <w:t>.</w:t>
      </w:r>
    </w:p>
    <w:p w14:paraId="02C26FEB" w14:textId="77777777" w:rsidR="00CC7EB4" w:rsidRPr="002C7D1B" w:rsidRDefault="00CC7EB4" w:rsidP="00CC7EB4">
      <w:pPr>
        <w:spacing w:after="160" w:line="360" w:lineRule="auto"/>
        <w:jc w:val="both"/>
        <w:rPr>
          <w:rFonts w:ascii="Arial" w:hAnsi="Arial" w:cs="Arial"/>
        </w:rPr>
      </w:pPr>
      <w:r w:rsidRPr="002C7D1B">
        <w:rPr>
          <w:rFonts w:ascii="Arial" w:hAnsi="Arial" w:cs="Arial"/>
        </w:rPr>
        <w:lastRenderedPageBreak/>
        <w:t>Timothy O’Connor and Christopher Franklin “Free Will” (Winter 2022) The Stanford</w:t>
      </w:r>
      <w:r w:rsidRPr="002C7D1B">
        <w:rPr>
          <w:rFonts w:ascii="Arial" w:hAnsi="Arial" w:cs="Arial"/>
          <w:i/>
          <w:iCs/>
        </w:rPr>
        <w:t xml:space="preserve"> </w:t>
      </w:r>
      <w:r w:rsidRPr="002C7D1B">
        <w:rPr>
          <w:rFonts w:ascii="Arial" w:hAnsi="Arial" w:cs="Arial"/>
        </w:rPr>
        <w:t xml:space="preserve">Encyclopedia of Philosophy </w:t>
      </w:r>
      <w:hyperlink r:id="rId16" w:history="1">
        <w:r w:rsidRPr="002C7D1B">
          <w:rPr>
            <w:rStyle w:val="Hyperlink"/>
            <w:rFonts w:ascii="Arial" w:hAnsi="Arial" w:cs="Arial"/>
          </w:rPr>
          <w:t>https://plato.stanford.edu/index.html</w:t>
        </w:r>
      </w:hyperlink>
      <w:r w:rsidRPr="002C7D1B">
        <w:rPr>
          <w:rFonts w:ascii="Arial" w:hAnsi="Arial" w:cs="Arial"/>
        </w:rPr>
        <w:t>.</w:t>
      </w:r>
    </w:p>
    <w:p w14:paraId="784C33CE" w14:textId="77777777" w:rsidR="00CC7EB4" w:rsidRDefault="00CC7EB4" w:rsidP="00CC7EB4">
      <w:pPr>
        <w:spacing w:after="160" w:line="360" w:lineRule="auto"/>
        <w:jc w:val="both"/>
        <w:rPr>
          <w:rFonts w:ascii="Arial" w:hAnsi="Arial" w:cs="Arial"/>
        </w:rPr>
      </w:pPr>
      <w:r w:rsidRPr="002C7D1B">
        <w:rPr>
          <w:rFonts w:ascii="Arial" w:hAnsi="Arial" w:cs="Arial"/>
        </w:rPr>
        <w:t xml:space="preserve">Oxford English Dictionary “Consent” </w:t>
      </w:r>
      <w:hyperlink r:id="rId17" w:history="1">
        <w:r w:rsidRPr="002C7D1B">
          <w:rPr>
            <w:rStyle w:val="Hyperlink"/>
            <w:rFonts w:ascii="Arial" w:hAnsi="Arial" w:cs="Arial"/>
          </w:rPr>
          <w:t>www.oed.com</w:t>
        </w:r>
      </w:hyperlink>
      <w:r w:rsidRPr="002C7D1B">
        <w:rPr>
          <w:rFonts w:ascii="Arial" w:hAnsi="Arial" w:cs="Arial"/>
        </w:rPr>
        <w:t>.</w:t>
      </w:r>
    </w:p>
    <w:p w14:paraId="1E6C50D7" w14:textId="77777777" w:rsidR="00CC7EB4" w:rsidRDefault="00CC7EB4" w:rsidP="00CC7EB4">
      <w:pPr>
        <w:spacing w:after="160" w:line="360" w:lineRule="auto"/>
        <w:jc w:val="both"/>
        <w:rPr>
          <w:rFonts w:ascii="Arial" w:hAnsi="Arial" w:cs="Arial"/>
          <w:b/>
          <w:bCs/>
          <w:i/>
          <w:iCs/>
        </w:rPr>
      </w:pPr>
      <w:r>
        <w:rPr>
          <w:rFonts w:ascii="Arial" w:hAnsi="Arial" w:cs="Arial"/>
          <w:b/>
          <w:bCs/>
          <w:i/>
          <w:iCs/>
        </w:rPr>
        <w:t>I        Other resources</w:t>
      </w:r>
    </w:p>
    <w:p w14:paraId="3C65FAD5" w14:textId="77777777" w:rsidR="00CC7EB4" w:rsidRPr="003B46F3" w:rsidRDefault="00CC7EB4" w:rsidP="00CC7EB4">
      <w:pPr>
        <w:spacing w:after="160" w:line="360" w:lineRule="auto"/>
        <w:jc w:val="both"/>
        <w:rPr>
          <w:rFonts w:ascii="Arial" w:hAnsi="Arial" w:cs="Arial"/>
        </w:rPr>
      </w:pPr>
      <w:r w:rsidRPr="002C7D1B">
        <w:rPr>
          <w:rFonts w:ascii="Arial" w:hAnsi="Arial" w:cs="Arial"/>
          <w:lang w:val="en-US"/>
        </w:rPr>
        <w:t xml:space="preserve">Louis D. Brandeis “What Publicity Can Do” </w:t>
      </w:r>
      <w:r w:rsidRPr="002C7D1B">
        <w:rPr>
          <w:rFonts w:ascii="Arial" w:hAnsi="Arial" w:cs="Arial"/>
          <w:i/>
          <w:iCs/>
          <w:lang w:val="en-US"/>
        </w:rPr>
        <w:t xml:space="preserve">Harper’s Weekly </w:t>
      </w:r>
      <w:r w:rsidRPr="002C7D1B">
        <w:rPr>
          <w:rFonts w:ascii="Arial" w:hAnsi="Arial" w:cs="Arial"/>
          <w:lang w:val="en-US"/>
        </w:rPr>
        <w:t>(New York City, December 20</w:t>
      </w:r>
      <w:proofErr w:type="gramStart"/>
      <w:r w:rsidRPr="002C7D1B">
        <w:rPr>
          <w:rFonts w:ascii="Arial" w:hAnsi="Arial" w:cs="Arial"/>
          <w:lang w:val="en-US"/>
        </w:rPr>
        <w:t xml:space="preserve"> 1913</w:t>
      </w:r>
      <w:proofErr w:type="gramEnd"/>
      <w:r w:rsidRPr="002C7D1B">
        <w:rPr>
          <w:rFonts w:ascii="Arial" w:hAnsi="Arial" w:cs="Arial"/>
          <w:lang w:val="en-US"/>
        </w:rPr>
        <w:t>)</w:t>
      </w:r>
      <w:r>
        <w:rPr>
          <w:rFonts w:ascii="Arial" w:hAnsi="Arial" w:cs="Arial"/>
          <w:lang w:val="en-US"/>
        </w:rPr>
        <w:t>.</w:t>
      </w:r>
    </w:p>
    <w:p w14:paraId="2F549618" w14:textId="77777777" w:rsidR="00CC7EB4" w:rsidRPr="003B46F3" w:rsidRDefault="00CC7EB4" w:rsidP="00CC7EB4">
      <w:pPr>
        <w:spacing w:after="160" w:line="360" w:lineRule="auto"/>
        <w:jc w:val="both"/>
        <w:rPr>
          <w:rFonts w:ascii="Arial" w:hAnsi="Arial" w:cs="Arial"/>
          <w:b/>
          <w:bCs/>
          <w:i/>
          <w:iCs/>
        </w:rPr>
      </w:pPr>
      <w:r>
        <w:rPr>
          <w:rFonts w:ascii="Arial" w:hAnsi="Arial" w:cs="Arial"/>
          <w:b/>
          <w:bCs/>
          <w:i/>
          <w:iCs/>
        </w:rPr>
        <w:t xml:space="preserve">          </w:t>
      </w:r>
    </w:p>
    <w:p w14:paraId="2B297701" w14:textId="77777777" w:rsidR="001154F8" w:rsidRDefault="001154F8"/>
    <w:sectPr w:rsidR="001154F8" w:rsidSect="00CC7EB4">
      <w:headerReference w:type="default" r:id="rId18"/>
      <w:footerReference w:type="default" r:id="rId1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E8590" w14:textId="77777777" w:rsidR="00A64432" w:rsidRDefault="00A64432" w:rsidP="00CC7EB4">
      <w:r>
        <w:separator/>
      </w:r>
    </w:p>
  </w:endnote>
  <w:endnote w:type="continuationSeparator" w:id="0">
    <w:p w14:paraId="66D9E599" w14:textId="77777777" w:rsidR="00A64432" w:rsidRDefault="00A64432" w:rsidP="00CC7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2853413"/>
      <w:docPartObj>
        <w:docPartGallery w:val="Page Numbers (Bottom of Page)"/>
        <w:docPartUnique/>
      </w:docPartObj>
    </w:sdtPr>
    <w:sdtContent>
      <w:p w14:paraId="7A8962C8" w14:textId="77777777" w:rsidR="00CC7EB4" w:rsidRDefault="00CC7EB4" w:rsidP="008C22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9F835A" w14:textId="77777777" w:rsidR="00CC7EB4" w:rsidRDefault="00CC7EB4" w:rsidP="007E05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2312701"/>
      <w:docPartObj>
        <w:docPartGallery w:val="Page Numbers (Bottom of Page)"/>
        <w:docPartUnique/>
      </w:docPartObj>
    </w:sdtPr>
    <w:sdtEndPr>
      <w:rPr>
        <w:rStyle w:val="PageNumber"/>
        <w:rFonts w:ascii="Arial" w:hAnsi="Arial" w:cs="Arial"/>
      </w:rPr>
    </w:sdtEndPr>
    <w:sdtContent>
      <w:p w14:paraId="30BFA83E" w14:textId="77777777" w:rsidR="00CC7EB4" w:rsidRDefault="00CC7EB4" w:rsidP="008C2257">
        <w:pPr>
          <w:pStyle w:val="Footer"/>
          <w:framePr w:wrap="none" w:vAnchor="text" w:hAnchor="margin" w:xAlign="right" w:y="1"/>
          <w:rPr>
            <w:rStyle w:val="PageNumber"/>
          </w:rPr>
        </w:pPr>
        <w:r w:rsidRPr="00191B70">
          <w:rPr>
            <w:rStyle w:val="PageNumber"/>
            <w:rFonts w:ascii="Arial" w:hAnsi="Arial" w:cs="Arial"/>
          </w:rPr>
          <w:fldChar w:fldCharType="begin"/>
        </w:r>
        <w:r w:rsidRPr="00191B70">
          <w:rPr>
            <w:rStyle w:val="PageNumber"/>
            <w:rFonts w:ascii="Arial" w:hAnsi="Arial" w:cs="Arial"/>
          </w:rPr>
          <w:instrText xml:space="preserve"> PAGE </w:instrText>
        </w:r>
        <w:r w:rsidRPr="00191B70">
          <w:rPr>
            <w:rStyle w:val="PageNumber"/>
            <w:rFonts w:ascii="Arial" w:hAnsi="Arial" w:cs="Arial"/>
          </w:rPr>
          <w:fldChar w:fldCharType="separate"/>
        </w:r>
        <w:r w:rsidRPr="00191B70">
          <w:rPr>
            <w:rStyle w:val="PageNumber"/>
            <w:rFonts w:ascii="Arial" w:hAnsi="Arial" w:cs="Arial"/>
            <w:noProof/>
          </w:rPr>
          <w:t>1</w:t>
        </w:r>
        <w:r w:rsidRPr="00191B70">
          <w:rPr>
            <w:rStyle w:val="PageNumber"/>
            <w:rFonts w:ascii="Arial" w:hAnsi="Arial" w:cs="Arial"/>
          </w:rPr>
          <w:fldChar w:fldCharType="end"/>
        </w:r>
      </w:p>
    </w:sdtContent>
  </w:sdt>
  <w:p w14:paraId="43A61FED" w14:textId="77777777" w:rsidR="00CC7EB4" w:rsidRDefault="00CC7EB4" w:rsidP="007E05E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1151943"/>
      <w:docPartObj>
        <w:docPartGallery w:val="Page Numbers (Bottom of Page)"/>
        <w:docPartUnique/>
      </w:docPartObj>
    </w:sdtPr>
    <w:sdtEndPr>
      <w:rPr>
        <w:rStyle w:val="PageNumber"/>
        <w:rFonts w:ascii="Arial" w:hAnsi="Arial" w:cs="Arial"/>
      </w:rPr>
    </w:sdtEndPr>
    <w:sdtContent>
      <w:p w14:paraId="58ADF0A2" w14:textId="77777777" w:rsidR="00CC7EB4" w:rsidRDefault="00CC7EB4" w:rsidP="008C2257">
        <w:pPr>
          <w:pStyle w:val="Footer"/>
          <w:framePr w:wrap="none" w:vAnchor="text" w:hAnchor="margin" w:xAlign="right" w:y="1"/>
          <w:rPr>
            <w:rStyle w:val="PageNumber"/>
          </w:rPr>
        </w:pPr>
        <w:r w:rsidRPr="00191B70">
          <w:rPr>
            <w:rStyle w:val="PageNumber"/>
            <w:rFonts w:ascii="Arial" w:hAnsi="Arial" w:cs="Arial"/>
          </w:rPr>
          <w:fldChar w:fldCharType="begin"/>
        </w:r>
        <w:r w:rsidRPr="00191B70">
          <w:rPr>
            <w:rStyle w:val="PageNumber"/>
            <w:rFonts w:ascii="Arial" w:hAnsi="Arial" w:cs="Arial"/>
          </w:rPr>
          <w:instrText xml:space="preserve"> PAGE </w:instrText>
        </w:r>
        <w:r w:rsidRPr="00191B70">
          <w:rPr>
            <w:rStyle w:val="PageNumber"/>
            <w:rFonts w:ascii="Arial" w:hAnsi="Arial" w:cs="Arial"/>
          </w:rPr>
          <w:fldChar w:fldCharType="separate"/>
        </w:r>
        <w:r w:rsidRPr="00191B70">
          <w:rPr>
            <w:rStyle w:val="PageNumber"/>
            <w:rFonts w:ascii="Arial" w:hAnsi="Arial" w:cs="Arial"/>
            <w:noProof/>
          </w:rPr>
          <w:t>1</w:t>
        </w:r>
        <w:r w:rsidRPr="00191B70">
          <w:rPr>
            <w:rStyle w:val="PageNumber"/>
            <w:rFonts w:ascii="Arial" w:hAnsi="Arial" w:cs="Arial"/>
          </w:rPr>
          <w:fldChar w:fldCharType="end"/>
        </w:r>
      </w:p>
    </w:sdtContent>
  </w:sdt>
  <w:p w14:paraId="23F553B1" w14:textId="77777777" w:rsidR="00CC7EB4" w:rsidRDefault="00CC7EB4" w:rsidP="007E05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E96AF" w14:textId="77777777" w:rsidR="00A64432" w:rsidRDefault="00A64432" w:rsidP="00CC7EB4">
      <w:r>
        <w:separator/>
      </w:r>
    </w:p>
  </w:footnote>
  <w:footnote w:type="continuationSeparator" w:id="0">
    <w:p w14:paraId="3993E0B8" w14:textId="77777777" w:rsidR="00A64432" w:rsidRDefault="00A64432" w:rsidP="00CC7EB4">
      <w:r>
        <w:continuationSeparator/>
      </w:r>
    </w:p>
  </w:footnote>
  <w:footnote w:id="1">
    <w:p w14:paraId="5B0EF2F4" w14:textId="77777777" w:rsidR="00CC7EB4" w:rsidRPr="00D75431" w:rsidRDefault="00CC7EB4" w:rsidP="00CC7EB4">
      <w:pPr>
        <w:pStyle w:val="FootnoteText"/>
        <w:rPr>
          <w:rFonts w:ascii="Arial" w:hAnsi="Arial" w:cs="Arial"/>
          <w:lang w:val="en-US"/>
        </w:rPr>
      </w:pPr>
      <w:r w:rsidRPr="00D75431">
        <w:rPr>
          <w:rStyle w:val="FootnoteReference"/>
          <w:rFonts w:ascii="Arial" w:hAnsi="Arial" w:cs="Arial"/>
        </w:rPr>
        <w:footnoteRef/>
      </w:r>
      <w:r w:rsidRPr="00D75431">
        <w:rPr>
          <w:rFonts w:ascii="Arial" w:hAnsi="Arial" w:cs="Arial"/>
        </w:rPr>
        <w:t xml:space="preserve"> </w:t>
      </w:r>
      <w:r w:rsidRPr="00D75431">
        <w:rPr>
          <w:rFonts w:ascii="Arial" w:hAnsi="Arial" w:cs="Arial"/>
          <w:i/>
          <w:iCs/>
          <w:lang w:val="en-US"/>
        </w:rPr>
        <w:t xml:space="preserve">Vernon v Bethell </w:t>
      </w:r>
      <w:r w:rsidRPr="00D75431">
        <w:rPr>
          <w:rFonts w:ascii="Arial" w:hAnsi="Arial" w:cs="Arial"/>
          <w:lang w:val="en-US"/>
        </w:rPr>
        <w:t>(1762) 28 ER 838.</w:t>
      </w:r>
    </w:p>
  </w:footnote>
  <w:footnote w:id="2">
    <w:p w14:paraId="678B6B7B" w14:textId="77777777" w:rsidR="00CC7EB4" w:rsidRPr="00D75431" w:rsidRDefault="00CC7EB4" w:rsidP="00CC7EB4">
      <w:pPr>
        <w:pStyle w:val="FootnoteText"/>
        <w:rPr>
          <w:rFonts w:ascii="Arial" w:hAnsi="Arial" w:cs="Arial"/>
        </w:rPr>
      </w:pPr>
      <w:r w:rsidRPr="00D75431">
        <w:rPr>
          <w:rStyle w:val="FootnoteReference"/>
          <w:rFonts w:ascii="Arial" w:hAnsi="Arial" w:cs="Arial"/>
        </w:rPr>
        <w:footnoteRef/>
      </w:r>
      <w:r w:rsidRPr="00D75431">
        <w:rPr>
          <w:rFonts w:ascii="Arial" w:hAnsi="Arial" w:cs="Arial"/>
        </w:rPr>
        <w:t xml:space="preserve"> </w:t>
      </w:r>
      <w:r>
        <w:rPr>
          <w:rFonts w:ascii="Arial" w:hAnsi="Arial" w:cs="Arial"/>
        </w:rPr>
        <w:t xml:space="preserve">W. </w:t>
      </w:r>
      <w:r w:rsidRPr="00D75431">
        <w:rPr>
          <w:rFonts w:ascii="Arial" w:hAnsi="Arial" w:cs="Arial"/>
        </w:rPr>
        <w:t>David Slawson</w:t>
      </w:r>
      <w:r>
        <w:rPr>
          <w:rFonts w:ascii="Arial" w:hAnsi="Arial" w:cs="Arial"/>
        </w:rPr>
        <w:t xml:space="preserve"> “Standard Form Contracts and Democratic Control of Lawmaking Power” (1971) 84 Harv. Law Rev 529 at 529.</w:t>
      </w:r>
    </w:p>
  </w:footnote>
  <w:footnote w:id="3">
    <w:p w14:paraId="6AA73CA6" w14:textId="77777777" w:rsidR="00CC7EB4" w:rsidRPr="00751602" w:rsidRDefault="00CC7EB4" w:rsidP="00CC7EB4">
      <w:pPr>
        <w:pStyle w:val="FootnoteText"/>
        <w:rPr>
          <w:rFonts w:ascii="Arial" w:hAnsi="Arial" w:cs="Arial"/>
          <w:lang w:val="en-US"/>
        </w:rPr>
      </w:pPr>
      <w:r w:rsidRPr="00751602">
        <w:rPr>
          <w:rStyle w:val="FootnoteReference"/>
          <w:rFonts w:ascii="Arial" w:hAnsi="Arial" w:cs="Arial"/>
        </w:rPr>
        <w:footnoteRef/>
      </w:r>
      <w:r w:rsidRPr="00751602">
        <w:rPr>
          <w:rFonts w:ascii="Arial" w:hAnsi="Arial" w:cs="Arial"/>
        </w:rPr>
        <w:t xml:space="preserve"> Yannis Bakos, Florencia Marotta-Wurgler and David R. Trossen “Does Anyone Read The Fine Print? Consumer Attention to Standard Form Contracts” (2014) 43 J. Legal. Stud 1.</w:t>
      </w:r>
    </w:p>
  </w:footnote>
  <w:footnote w:id="4">
    <w:p w14:paraId="2CCEACE2" w14:textId="77777777" w:rsidR="00CC7EB4" w:rsidRPr="00751602" w:rsidRDefault="00CC7EB4" w:rsidP="00CC7EB4">
      <w:pPr>
        <w:pStyle w:val="FootnoteText"/>
        <w:rPr>
          <w:rFonts w:ascii="Arial" w:hAnsi="Arial" w:cs="Arial"/>
          <w:lang w:val="en-US"/>
        </w:rPr>
      </w:pPr>
      <w:r w:rsidRPr="00751602">
        <w:rPr>
          <w:rStyle w:val="FootnoteReference"/>
          <w:rFonts w:ascii="Arial" w:hAnsi="Arial" w:cs="Arial"/>
        </w:rPr>
        <w:footnoteRef/>
      </w:r>
      <w:r w:rsidRPr="00751602">
        <w:rPr>
          <w:rFonts w:ascii="Arial" w:hAnsi="Arial" w:cs="Arial"/>
          <w:lang w:val="en-US"/>
        </w:rPr>
        <w:t xml:space="preserve"> Chunlin Leonhard “The Unbearable Lightness of Consent in Contract Law” (2012) 63 Case W. Rsrv. L. Rev. 57.</w:t>
      </w:r>
    </w:p>
  </w:footnote>
  <w:footnote w:id="5">
    <w:p w14:paraId="0FCB2841" w14:textId="77777777" w:rsidR="00CC7EB4" w:rsidRPr="00751602" w:rsidRDefault="00CC7EB4" w:rsidP="00CC7EB4">
      <w:pPr>
        <w:pStyle w:val="FootnoteText"/>
        <w:rPr>
          <w:rFonts w:ascii="Arial" w:hAnsi="Arial" w:cs="Arial"/>
          <w:lang w:val="en-US"/>
        </w:rPr>
      </w:pPr>
      <w:r w:rsidRPr="00751602">
        <w:rPr>
          <w:rStyle w:val="FootnoteReference"/>
          <w:rFonts w:ascii="Arial" w:hAnsi="Arial" w:cs="Arial"/>
        </w:rPr>
        <w:footnoteRef/>
      </w:r>
      <w:r w:rsidRPr="00751602">
        <w:rPr>
          <w:rFonts w:ascii="Arial" w:hAnsi="Arial" w:cs="Arial"/>
        </w:rPr>
        <w:t xml:space="preserve"> </w:t>
      </w:r>
      <w:r w:rsidRPr="00751602">
        <w:rPr>
          <w:rFonts w:ascii="Arial" w:hAnsi="Arial" w:cs="Arial"/>
          <w:i/>
          <w:iCs/>
        </w:rPr>
        <w:t xml:space="preserve">Uber Technologies Inc v Heller </w:t>
      </w:r>
      <w:r w:rsidRPr="00751602">
        <w:rPr>
          <w:rFonts w:ascii="Arial" w:hAnsi="Arial" w:cs="Arial"/>
        </w:rPr>
        <w:t>2020 SCC 16.</w:t>
      </w:r>
    </w:p>
  </w:footnote>
  <w:footnote w:id="6">
    <w:p w14:paraId="7FD40A65" w14:textId="77777777" w:rsidR="00CC7EB4" w:rsidRPr="00751602" w:rsidRDefault="00CC7EB4" w:rsidP="00CC7EB4">
      <w:pPr>
        <w:pStyle w:val="FootnoteText"/>
        <w:rPr>
          <w:rFonts w:ascii="Arial" w:hAnsi="Arial" w:cs="Arial"/>
          <w:lang w:val="en-US"/>
        </w:rPr>
      </w:pPr>
      <w:r w:rsidRPr="00751602">
        <w:rPr>
          <w:rStyle w:val="FootnoteReference"/>
          <w:rFonts w:ascii="Arial" w:hAnsi="Arial" w:cs="Arial"/>
        </w:rPr>
        <w:footnoteRef/>
      </w:r>
      <w:r w:rsidRPr="00751602">
        <w:rPr>
          <w:rFonts w:ascii="Arial" w:hAnsi="Arial" w:cs="Arial"/>
        </w:rPr>
        <w:t xml:space="preserve"> At </w:t>
      </w:r>
      <w:r>
        <w:rPr>
          <w:rFonts w:ascii="Arial" w:hAnsi="Arial" w:cs="Arial"/>
        </w:rPr>
        <w:t>[2].</w:t>
      </w:r>
    </w:p>
  </w:footnote>
  <w:footnote w:id="7">
    <w:p w14:paraId="049FBB28" w14:textId="77777777" w:rsidR="00CC7EB4" w:rsidRPr="00E53DD8" w:rsidRDefault="00CC7EB4" w:rsidP="00CC7EB4">
      <w:pPr>
        <w:pStyle w:val="FootnoteText"/>
        <w:rPr>
          <w:lang w:val="en-US"/>
        </w:rPr>
      </w:pPr>
      <w:r w:rsidRPr="00751602">
        <w:rPr>
          <w:rStyle w:val="FootnoteReference"/>
          <w:rFonts w:ascii="Arial" w:hAnsi="Arial" w:cs="Arial"/>
        </w:rPr>
        <w:footnoteRef/>
      </w:r>
      <w:r w:rsidRPr="00751602">
        <w:rPr>
          <w:rFonts w:ascii="Arial" w:hAnsi="Arial" w:cs="Arial"/>
        </w:rPr>
        <w:t xml:space="preserve"> Joseph Spooner “Contract Law When the Poor Pay More”</w:t>
      </w:r>
      <w:r>
        <w:rPr>
          <w:rFonts w:ascii="Arial" w:hAnsi="Arial" w:cs="Arial"/>
        </w:rPr>
        <w:t xml:space="preserve"> (2024) gqae002 </w:t>
      </w:r>
      <w:r w:rsidRPr="000F083B">
        <w:rPr>
          <w:rFonts w:ascii="Arial" w:hAnsi="Arial" w:cs="Arial"/>
          <w:lang w:val="en-US"/>
        </w:rPr>
        <w:t>Oxf. J. Leg. Stud</w:t>
      </w:r>
      <w:r w:rsidRPr="00E53DD8">
        <w:rPr>
          <w:rFonts w:ascii="Arial" w:hAnsi="Arial" w:cs="Arial"/>
        </w:rPr>
        <w:t xml:space="preserve">. </w:t>
      </w:r>
    </w:p>
  </w:footnote>
  <w:footnote w:id="8">
    <w:p w14:paraId="7EDBA7BF" w14:textId="77777777" w:rsidR="00CC7EB4" w:rsidRPr="00693C26" w:rsidRDefault="00CC7EB4" w:rsidP="00CC7EB4">
      <w:pPr>
        <w:pStyle w:val="FootnoteText"/>
        <w:rPr>
          <w:rFonts w:ascii="Arial" w:hAnsi="Arial" w:cs="Arial"/>
          <w:lang w:val="en-US"/>
        </w:rPr>
      </w:pPr>
      <w:r w:rsidRPr="00693C26">
        <w:rPr>
          <w:rStyle w:val="FootnoteReference"/>
          <w:rFonts w:ascii="Arial" w:hAnsi="Arial" w:cs="Arial"/>
        </w:rPr>
        <w:footnoteRef/>
      </w:r>
      <w:r w:rsidRPr="00693C26">
        <w:rPr>
          <w:rFonts w:ascii="Arial" w:hAnsi="Arial" w:cs="Arial"/>
        </w:rPr>
        <w:t xml:space="preserve"> Fair Trading Act 1986, s 7 and ss 46H-M.</w:t>
      </w:r>
    </w:p>
  </w:footnote>
  <w:footnote w:id="9">
    <w:p w14:paraId="4BBF4FC2" w14:textId="77777777" w:rsidR="00CC7EB4" w:rsidRPr="000F083B" w:rsidRDefault="00CC7EB4" w:rsidP="00CC7EB4">
      <w:pPr>
        <w:pStyle w:val="FootnoteText"/>
        <w:rPr>
          <w:rFonts w:ascii="Arial" w:hAnsi="Arial" w:cs="Arial"/>
          <w:lang w:val="en-US"/>
        </w:rPr>
      </w:pPr>
      <w:r w:rsidRPr="000F083B">
        <w:rPr>
          <w:rStyle w:val="FootnoteReference"/>
          <w:rFonts w:ascii="Arial" w:hAnsi="Arial" w:cs="Arial"/>
        </w:rPr>
        <w:footnoteRef/>
      </w:r>
      <w:r w:rsidRPr="000F083B">
        <w:rPr>
          <w:rFonts w:ascii="Arial" w:hAnsi="Arial" w:cs="Arial"/>
        </w:rPr>
        <w:t xml:space="preserve"> </w:t>
      </w:r>
      <w:r w:rsidRPr="000F083B">
        <w:rPr>
          <w:rFonts w:ascii="Arial" w:hAnsi="Arial" w:cs="Arial"/>
          <w:lang w:val="en-US"/>
        </w:rPr>
        <w:t xml:space="preserve">See, for example, </w:t>
      </w:r>
      <w:r w:rsidRPr="000F083B">
        <w:rPr>
          <w:rFonts w:ascii="Arial" w:hAnsi="Arial" w:cs="Arial"/>
          <w:i/>
          <w:iCs/>
          <w:lang w:val="en-US"/>
        </w:rPr>
        <w:t xml:space="preserve">Carlill v Carbolic Smoke Ball Co </w:t>
      </w:r>
      <w:r w:rsidRPr="000F083B">
        <w:rPr>
          <w:rFonts w:ascii="Arial" w:hAnsi="Arial" w:cs="Arial"/>
          <w:lang w:val="en-US"/>
        </w:rPr>
        <w:t>[1893] 1 QB 256 at 135.</w:t>
      </w:r>
    </w:p>
  </w:footnote>
  <w:footnote w:id="10">
    <w:p w14:paraId="0563AB9C" w14:textId="77777777" w:rsidR="00CC7EB4" w:rsidRPr="000F083B" w:rsidRDefault="00CC7EB4" w:rsidP="00CC7EB4">
      <w:pPr>
        <w:rPr>
          <w:rFonts w:ascii="Arial" w:hAnsi="Arial" w:cs="Arial"/>
          <w:sz w:val="20"/>
          <w:szCs w:val="20"/>
        </w:rPr>
      </w:pPr>
      <w:r w:rsidRPr="000F083B">
        <w:rPr>
          <w:rStyle w:val="FootnoteReference"/>
          <w:rFonts w:ascii="Arial" w:hAnsi="Arial" w:cs="Arial"/>
          <w:sz w:val="20"/>
          <w:szCs w:val="20"/>
        </w:rPr>
        <w:footnoteRef/>
      </w:r>
      <w:r w:rsidRPr="000F083B">
        <w:rPr>
          <w:rFonts w:ascii="Arial" w:hAnsi="Arial" w:cs="Arial"/>
          <w:sz w:val="20"/>
          <w:szCs w:val="20"/>
        </w:rPr>
        <w:t xml:space="preserve"> Roscoe Pound “Liberty of Contract” (1909) 18 </w:t>
      </w:r>
      <w:r w:rsidRPr="000F083B">
        <w:rPr>
          <w:rFonts w:ascii="Arial" w:hAnsi="Arial" w:cs="Arial"/>
          <w:color w:val="2A2A2A"/>
          <w:sz w:val="20"/>
          <w:szCs w:val="20"/>
        </w:rPr>
        <w:t>Yale LJ 454.</w:t>
      </w:r>
    </w:p>
  </w:footnote>
  <w:footnote w:id="11">
    <w:p w14:paraId="5BBB22E3" w14:textId="77777777" w:rsidR="00CC7EB4" w:rsidRPr="000F083B" w:rsidRDefault="00CC7EB4" w:rsidP="00CC7EB4">
      <w:pPr>
        <w:pStyle w:val="FootnoteText"/>
        <w:rPr>
          <w:rFonts w:ascii="Arial" w:hAnsi="Arial" w:cs="Arial"/>
          <w:lang w:val="en-US"/>
        </w:rPr>
      </w:pPr>
      <w:r w:rsidRPr="000F083B">
        <w:rPr>
          <w:rStyle w:val="FootnoteReference"/>
          <w:rFonts w:ascii="Arial" w:hAnsi="Arial" w:cs="Arial"/>
        </w:rPr>
        <w:footnoteRef/>
      </w:r>
      <w:r w:rsidRPr="000F083B">
        <w:rPr>
          <w:rFonts w:ascii="Arial" w:hAnsi="Arial" w:cs="Arial"/>
        </w:rPr>
        <w:t xml:space="preserve"> Kate Tokeley “Overview and History of Consumer Law” in Kate Tokeley and Victoria Stace (eds) </w:t>
      </w:r>
      <w:r w:rsidRPr="000F083B">
        <w:rPr>
          <w:rFonts w:ascii="Arial" w:hAnsi="Arial" w:cs="Arial"/>
          <w:i/>
          <w:iCs/>
        </w:rPr>
        <w:t>Consumer Law in New Zealand</w:t>
      </w:r>
      <w:r w:rsidRPr="000F083B">
        <w:rPr>
          <w:rFonts w:ascii="Arial" w:hAnsi="Arial" w:cs="Arial"/>
        </w:rPr>
        <w:t xml:space="preserve"> (3</w:t>
      </w:r>
      <w:r w:rsidRPr="000F083B">
        <w:rPr>
          <w:rFonts w:ascii="Arial" w:hAnsi="Arial" w:cs="Arial"/>
          <w:vertAlign w:val="superscript"/>
        </w:rPr>
        <w:t>rd</w:t>
      </w:r>
      <w:r w:rsidRPr="000F083B">
        <w:rPr>
          <w:rFonts w:ascii="Arial" w:hAnsi="Arial" w:cs="Arial"/>
        </w:rPr>
        <w:t xml:space="preserve"> ed, LexisNexis, Wellington, 2022) at [1.2].</w:t>
      </w:r>
    </w:p>
  </w:footnote>
  <w:footnote w:id="12">
    <w:p w14:paraId="3536468B" w14:textId="77777777" w:rsidR="00CC7EB4" w:rsidRPr="000F083B" w:rsidRDefault="00CC7EB4" w:rsidP="00CC7EB4">
      <w:pPr>
        <w:pStyle w:val="FootnoteText"/>
        <w:rPr>
          <w:rFonts w:ascii="Arial" w:hAnsi="Arial" w:cs="Arial"/>
          <w:lang w:val="en-US"/>
        </w:rPr>
      </w:pPr>
      <w:r w:rsidRPr="000F083B">
        <w:rPr>
          <w:rStyle w:val="FootnoteReference"/>
          <w:rFonts w:ascii="Arial" w:hAnsi="Arial" w:cs="Arial"/>
        </w:rPr>
        <w:footnoteRef/>
      </w:r>
      <w:r w:rsidRPr="000F083B">
        <w:rPr>
          <w:rFonts w:ascii="Arial" w:hAnsi="Arial" w:cs="Arial"/>
        </w:rPr>
        <w:t xml:space="preserve"> </w:t>
      </w:r>
      <w:r w:rsidRPr="000F083B">
        <w:rPr>
          <w:rFonts w:ascii="Arial" w:hAnsi="Arial" w:cs="Arial"/>
          <w:i/>
          <w:iCs/>
        </w:rPr>
        <w:t xml:space="preserve">Smith v Hughes </w:t>
      </w:r>
      <w:r w:rsidRPr="000F083B">
        <w:rPr>
          <w:rFonts w:ascii="Arial" w:hAnsi="Arial" w:cs="Arial"/>
        </w:rPr>
        <w:t>(1871) LR 6 QB 597.</w:t>
      </w:r>
    </w:p>
  </w:footnote>
  <w:footnote w:id="13">
    <w:p w14:paraId="7E3D016F" w14:textId="77777777" w:rsidR="00CC7EB4" w:rsidRPr="000F083B" w:rsidRDefault="00CC7EB4" w:rsidP="00CC7EB4">
      <w:pPr>
        <w:pStyle w:val="FootnoteText"/>
        <w:rPr>
          <w:rFonts w:ascii="Arial" w:hAnsi="Arial" w:cs="Arial"/>
          <w:lang w:val="en-US"/>
        </w:rPr>
      </w:pPr>
      <w:r w:rsidRPr="000F083B">
        <w:rPr>
          <w:rStyle w:val="FootnoteReference"/>
          <w:rFonts w:ascii="Arial" w:hAnsi="Arial" w:cs="Arial"/>
        </w:rPr>
        <w:footnoteRef/>
      </w:r>
      <w:r w:rsidRPr="000F083B">
        <w:rPr>
          <w:rFonts w:ascii="Arial" w:hAnsi="Arial" w:cs="Arial"/>
        </w:rPr>
        <w:t xml:space="preserve"> Section 46J.</w:t>
      </w:r>
    </w:p>
  </w:footnote>
  <w:footnote w:id="14">
    <w:p w14:paraId="056CEF59" w14:textId="77777777" w:rsidR="00CC7EB4" w:rsidRPr="00873CD1" w:rsidRDefault="00CC7EB4" w:rsidP="00CC7EB4">
      <w:pPr>
        <w:pStyle w:val="FootnoteText"/>
        <w:rPr>
          <w:rFonts w:ascii="Arial" w:hAnsi="Arial" w:cs="Arial"/>
          <w:lang w:val="en-US"/>
        </w:rPr>
      </w:pPr>
      <w:r w:rsidRPr="000F083B">
        <w:rPr>
          <w:rStyle w:val="FootnoteReference"/>
          <w:rFonts w:ascii="Arial" w:hAnsi="Arial" w:cs="Arial"/>
        </w:rPr>
        <w:footnoteRef/>
      </w:r>
      <w:r w:rsidRPr="000F083B">
        <w:rPr>
          <w:rFonts w:ascii="Arial" w:hAnsi="Arial" w:cs="Arial"/>
        </w:rPr>
        <w:t xml:space="preserve"> Section 46J.</w:t>
      </w:r>
    </w:p>
  </w:footnote>
  <w:footnote w:id="15">
    <w:p w14:paraId="3F26CBB9" w14:textId="77777777" w:rsidR="00CC7EB4" w:rsidRPr="000F083B" w:rsidRDefault="00CC7EB4" w:rsidP="00CC7EB4">
      <w:pPr>
        <w:pStyle w:val="FootnoteText"/>
        <w:rPr>
          <w:rFonts w:ascii="Arial" w:hAnsi="Arial" w:cs="Arial"/>
          <w:lang w:val="en-US"/>
        </w:rPr>
      </w:pPr>
      <w:r w:rsidRPr="000F083B">
        <w:rPr>
          <w:rStyle w:val="FootnoteReference"/>
          <w:rFonts w:ascii="Arial" w:hAnsi="Arial" w:cs="Arial"/>
        </w:rPr>
        <w:footnoteRef/>
      </w:r>
      <w:r w:rsidRPr="000F083B">
        <w:rPr>
          <w:rFonts w:ascii="Arial" w:hAnsi="Arial" w:cs="Arial"/>
        </w:rPr>
        <w:t xml:space="preserve"> </w:t>
      </w:r>
      <w:r w:rsidRPr="000F083B">
        <w:rPr>
          <w:rFonts w:ascii="Arial" w:hAnsi="Arial" w:cs="Arial"/>
          <w:i/>
          <w:iCs/>
        </w:rPr>
        <w:t xml:space="preserve">Commerce Commission v Home Direct </w:t>
      </w:r>
      <w:r w:rsidRPr="000F083B">
        <w:rPr>
          <w:rFonts w:ascii="Arial" w:hAnsi="Arial" w:cs="Arial"/>
        </w:rPr>
        <w:t>[2019] NZHC 2943 at [21].</w:t>
      </w:r>
    </w:p>
  </w:footnote>
  <w:footnote w:id="16">
    <w:p w14:paraId="4E62605B" w14:textId="77777777" w:rsidR="00CC7EB4" w:rsidRPr="000F083B" w:rsidRDefault="00CC7EB4" w:rsidP="00CC7EB4">
      <w:pPr>
        <w:pStyle w:val="FootnoteText"/>
        <w:rPr>
          <w:rFonts w:ascii="Arial" w:hAnsi="Arial" w:cs="Arial"/>
          <w:lang w:val="en-US"/>
        </w:rPr>
      </w:pPr>
      <w:r w:rsidRPr="000F083B">
        <w:rPr>
          <w:rStyle w:val="FootnoteReference"/>
          <w:rFonts w:ascii="Arial" w:hAnsi="Arial" w:cs="Arial"/>
        </w:rPr>
        <w:footnoteRef/>
      </w:r>
      <w:r w:rsidRPr="000F083B">
        <w:rPr>
          <w:rFonts w:ascii="Arial" w:hAnsi="Arial" w:cs="Arial"/>
        </w:rPr>
        <w:t xml:space="preserve"> Margaret Jane </w:t>
      </w:r>
      <w:r w:rsidRPr="000F083B">
        <w:rPr>
          <w:rFonts w:ascii="Arial" w:hAnsi="Arial" w:cs="Arial"/>
          <w:lang w:val="en-US"/>
        </w:rPr>
        <w:t>Radin “The Deformation of Contract in the Information Society” (2017) 37 Oxf. J. Leg. Stud 505 at 516.</w:t>
      </w:r>
    </w:p>
  </w:footnote>
  <w:footnote w:id="17">
    <w:p w14:paraId="2F176F55" w14:textId="77777777" w:rsidR="00CC7EB4" w:rsidRPr="000F083B" w:rsidRDefault="00CC7EB4" w:rsidP="00CC7EB4">
      <w:pPr>
        <w:pStyle w:val="FootnoteText"/>
        <w:rPr>
          <w:rFonts w:ascii="Arial" w:hAnsi="Arial" w:cs="Arial"/>
          <w:lang w:val="en-US"/>
        </w:rPr>
      </w:pPr>
      <w:r w:rsidRPr="000F083B">
        <w:rPr>
          <w:rStyle w:val="FootnoteReference"/>
          <w:rFonts w:ascii="Arial" w:hAnsi="Arial" w:cs="Arial"/>
        </w:rPr>
        <w:footnoteRef/>
      </w:r>
      <w:r w:rsidRPr="000F083B">
        <w:rPr>
          <w:rFonts w:ascii="Arial" w:hAnsi="Arial" w:cs="Arial"/>
        </w:rPr>
        <w:t xml:space="preserve"> Russell Korobkin “Bounded Rationality, Standard Form Contracts, and Unconscionability” (2003) 70 U. Chi. L. Rev. 1203. at 1203.</w:t>
      </w:r>
    </w:p>
  </w:footnote>
  <w:footnote w:id="18">
    <w:p w14:paraId="3116D56A" w14:textId="77777777" w:rsidR="00CC7EB4" w:rsidRPr="000F083B" w:rsidRDefault="00CC7EB4" w:rsidP="00CC7EB4">
      <w:pPr>
        <w:pStyle w:val="FootnoteText"/>
        <w:rPr>
          <w:rFonts w:ascii="Arial" w:hAnsi="Arial" w:cs="Arial"/>
          <w:lang w:val="en-US"/>
        </w:rPr>
      </w:pPr>
      <w:r w:rsidRPr="000F083B">
        <w:rPr>
          <w:rStyle w:val="FootnoteReference"/>
          <w:rFonts w:ascii="Arial" w:hAnsi="Arial" w:cs="Arial"/>
        </w:rPr>
        <w:footnoteRef/>
      </w:r>
      <w:r w:rsidRPr="000F083B">
        <w:rPr>
          <w:rFonts w:ascii="Arial" w:hAnsi="Arial" w:cs="Arial"/>
        </w:rPr>
        <w:t xml:space="preserve"> Hugh Beale “Unfair Contracts in Britain and Europe” (1989) 42 Current Legal Problems 197 at 199.</w:t>
      </w:r>
    </w:p>
  </w:footnote>
  <w:footnote w:id="19">
    <w:p w14:paraId="54060C90" w14:textId="77777777" w:rsidR="00CC7EB4" w:rsidRPr="000F083B" w:rsidRDefault="00CC7EB4" w:rsidP="00CC7EB4">
      <w:pPr>
        <w:pStyle w:val="FootnoteText"/>
        <w:rPr>
          <w:rFonts w:ascii="Arial" w:hAnsi="Arial" w:cs="Arial"/>
          <w:lang w:val="en-US"/>
        </w:rPr>
      </w:pPr>
      <w:r w:rsidRPr="000F083B">
        <w:rPr>
          <w:rStyle w:val="FootnoteReference"/>
          <w:rFonts w:ascii="Arial" w:hAnsi="Arial" w:cs="Arial"/>
        </w:rPr>
        <w:footnoteRef/>
      </w:r>
      <w:r w:rsidRPr="000F083B">
        <w:rPr>
          <w:rFonts w:ascii="Arial" w:hAnsi="Arial" w:cs="Arial"/>
        </w:rPr>
        <w:t xml:space="preserve"> Privacy policies and terms and conditions are common to most databases.</w:t>
      </w:r>
    </w:p>
  </w:footnote>
  <w:footnote w:id="20">
    <w:p w14:paraId="071CCDFA" w14:textId="77777777" w:rsidR="00CC7EB4" w:rsidRPr="000F083B" w:rsidRDefault="00CC7EB4" w:rsidP="00CC7EB4">
      <w:pPr>
        <w:pStyle w:val="FootnoteText"/>
        <w:rPr>
          <w:rFonts w:ascii="Arial" w:hAnsi="Arial" w:cs="Arial"/>
          <w:lang w:val="en-US"/>
        </w:rPr>
      </w:pPr>
      <w:r w:rsidRPr="000F083B">
        <w:rPr>
          <w:rStyle w:val="FootnoteReference"/>
          <w:rFonts w:ascii="Arial" w:hAnsi="Arial" w:cs="Arial"/>
        </w:rPr>
        <w:footnoteRef/>
      </w:r>
      <w:r w:rsidRPr="000F083B">
        <w:rPr>
          <w:rFonts w:ascii="Arial" w:hAnsi="Arial" w:cs="Arial"/>
        </w:rPr>
        <w:t xml:space="preserve"> </w:t>
      </w:r>
      <w:r w:rsidRPr="000F083B">
        <w:rPr>
          <w:rFonts w:ascii="Arial" w:hAnsi="Arial" w:cs="Arial"/>
          <w:i/>
          <w:iCs/>
        </w:rPr>
        <w:t>Smith v Hughes</w:t>
      </w:r>
      <w:r w:rsidRPr="000F083B">
        <w:rPr>
          <w:rFonts w:ascii="Arial" w:hAnsi="Arial" w:cs="Arial"/>
        </w:rPr>
        <w:t>, above n 12.</w:t>
      </w:r>
    </w:p>
  </w:footnote>
  <w:footnote w:id="21">
    <w:p w14:paraId="7716A53E" w14:textId="77777777" w:rsidR="00CC7EB4" w:rsidRPr="00A24957" w:rsidRDefault="00CC7EB4" w:rsidP="00CC7EB4">
      <w:pPr>
        <w:rPr>
          <w:rFonts w:ascii="Arial" w:hAnsi="Arial" w:cs="Arial"/>
          <w:sz w:val="20"/>
          <w:szCs w:val="20"/>
        </w:rPr>
      </w:pPr>
      <w:r w:rsidRPr="000F083B">
        <w:rPr>
          <w:rStyle w:val="FootnoteReference"/>
          <w:rFonts w:ascii="Arial" w:hAnsi="Arial" w:cs="Arial"/>
          <w:sz w:val="20"/>
          <w:szCs w:val="20"/>
        </w:rPr>
        <w:footnoteRef/>
      </w:r>
      <w:r w:rsidRPr="000F083B">
        <w:rPr>
          <w:rFonts w:ascii="Arial" w:hAnsi="Arial" w:cs="Arial"/>
          <w:sz w:val="20"/>
          <w:szCs w:val="20"/>
        </w:rPr>
        <w:t xml:space="preserve"> </w:t>
      </w:r>
      <w:r w:rsidRPr="000F083B">
        <w:rPr>
          <w:rFonts w:ascii="Arial" w:hAnsi="Arial" w:cs="Arial"/>
          <w:color w:val="000000"/>
          <w:sz w:val="20"/>
          <w:szCs w:val="20"/>
        </w:rPr>
        <w:t xml:space="preserve">Kevin Litman-Navarro “We Read 150 Privacy Policies. They Were an Incomprehensible Disaster” (2019) The New York Times </w:t>
      </w:r>
      <w:hyperlink r:id="rId1" w:history="1">
        <w:r w:rsidRPr="000F083B">
          <w:rPr>
            <w:rStyle w:val="Hyperlink"/>
            <w:rFonts w:ascii="Arial" w:hAnsi="Arial" w:cs="Arial"/>
            <w:sz w:val="20"/>
            <w:szCs w:val="20"/>
          </w:rPr>
          <w:t>http://www.nytimes.com</w:t>
        </w:r>
      </w:hyperlink>
      <w:r w:rsidRPr="000F083B">
        <w:rPr>
          <w:rFonts w:ascii="Arial" w:hAnsi="Arial" w:cs="Arial"/>
          <w:color w:val="000000"/>
          <w:sz w:val="20"/>
          <w:szCs w:val="20"/>
        </w:rPr>
        <w:t>.</w:t>
      </w:r>
    </w:p>
  </w:footnote>
  <w:footnote w:id="22">
    <w:p w14:paraId="3ACE28EB" w14:textId="77777777" w:rsidR="00CC7EB4" w:rsidRPr="000F083B" w:rsidRDefault="00CC7EB4" w:rsidP="00CC7EB4">
      <w:pPr>
        <w:pStyle w:val="FootnoteText"/>
        <w:rPr>
          <w:rFonts w:ascii="Arial" w:hAnsi="Arial" w:cs="Arial"/>
          <w:lang w:val="en-US"/>
        </w:rPr>
      </w:pPr>
      <w:r w:rsidRPr="000F083B">
        <w:rPr>
          <w:rStyle w:val="FootnoteReference"/>
          <w:rFonts w:ascii="Arial" w:hAnsi="Arial" w:cs="Arial"/>
        </w:rPr>
        <w:footnoteRef/>
      </w:r>
      <w:r w:rsidRPr="000F083B">
        <w:rPr>
          <w:rFonts w:ascii="Arial" w:hAnsi="Arial" w:cs="Arial"/>
        </w:rPr>
        <w:t xml:space="preserve"> </w:t>
      </w:r>
      <w:r w:rsidRPr="000F083B">
        <w:rPr>
          <w:rFonts w:ascii="Arial" w:hAnsi="Arial" w:cs="Arial"/>
          <w:lang w:val="en-US"/>
        </w:rPr>
        <w:t xml:space="preserve">Margaret Jane Radin </w:t>
      </w:r>
      <w:r w:rsidRPr="000F083B">
        <w:rPr>
          <w:rFonts w:ascii="Arial" w:hAnsi="Arial" w:cs="Arial"/>
          <w:i/>
          <w:iCs/>
          <w:lang w:val="en-US"/>
        </w:rPr>
        <w:t xml:space="preserve">Boilerplate: The Fine Print, Vanishing Rights and the Rule of Law </w:t>
      </w:r>
      <w:r w:rsidRPr="000F083B">
        <w:rPr>
          <w:rFonts w:ascii="Arial" w:hAnsi="Arial" w:cs="Arial"/>
          <w:lang w:val="en-US"/>
        </w:rPr>
        <w:t>(Princeton University Press, New Jersey, 2013).</w:t>
      </w:r>
    </w:p>
  </w:footnote>
  <w:footnote w:id="23">
    <w:p w14:paraId="1204A0B5" w14:textId="77777777" w:rsidR="00CC7EB4" w:rsidRPr="000F083B" w:rsidRDefault="00CC7EB4" w:rsidP="00CC7EB4">
      <w:pPr>
        <w:pStyle w:val="FootnoteText"/>
        <w:rPr>
          <w:rFonts w:ascii="Arial" w:hAnsi="Arial" w:cs="Arial"/>
          <w:lang w:val="en-US"/>
        </w:rPr>
      </w:pPr>
      <w:r w:rsidRPr="000F083B">
        <w:rPr>
          <w:rStyle w:val="FootnoteReference"/>
          <w:rFonts w:ascii="Arial" w:hAnsi="Arial" w:cs="Arial"/>
        </w:rPr>
        <w:footnoteRef/>
      </w:r>
      <w:r w:rsidRPr="000F083B">
        <w:rPr>
          <w:rFonts w:ascii="Arial" w:hAnsi="Arial" w:cs="Arial"/>
        </w:rPr>
        <w:t xml:space="preserve"> </w:t>
      </w:r>
      <w:r w:rsidRPr="000F083B">
        <w:rPr>
          <w:rFonts w:ascii="Arial" w:hAnsi="Arial" w:cs="Arial"/>
          <w:lang w:val="en-US"/>
        </w:rPr>
        <w:t>Daniel D. Haun and Eric P. Robinson “Do You Agree? The Psychology and Legalities of Assent to Standard Form Contracts” (2022) 28 Rich. J. L. &amp; Tech 623 at 644.</w:t>
      </w:r>
    </w:p>
  </w:footnote>
  <w:footnote w:id="24">
    <w:p w14:paraId="5695F15B" w14:textId="77777777" w:rsidR="00CC7EB4" w:rsidRPr="000F083B" w:rsidRDefault="00CC7EB4" w:rsidP="00CC7EB4">
      <w:pPr>
        <w:pStyle w:val="FootnoteText"/>
        <w:rPr>
          <w:rFonts w:ascii="Arial" w:hAnsi="Arial" w:cs="Arial"/>
          <w:lang w:val="en-US"/>
        </w:rPr>
      </w:pPr>
      <w:r w:rsidRPr="000F083B">
        <w:rPr>
          <w:rStyle w:val="FootnoteReference"/>
          <w:rFonts w:ascii="Arial" w:hAnsi="Arial" w:cs="Arial"/>
        </w:rPr>
        <w:footnoteRef/>
      </w:r>
      <w:r w:rsidRPr="000F083B">
        <w:rPr>
          <w:rFonts w:ascii="Arial" w:hAnsi="Arial" w:cs="Arial"/>
        </w:rPr>
        <w:t xml:space="preserve"> Discord “Discord’s Terms of Service” </w:t>
      </w:r>
      <w:hyperlink r:id="rId2" w:history="1">
        <w:r w:rsidRPr="000F083B">
          <w:rPr>
            <w:rStyle w:val="Hyperlink"/>
            <w:rFonts w:ascii="Arial" w:hAnsi="Arial" w:cs="Arial"/>
          </w:rPr>
          <w:t>https://discord.com</w:t>
        </w:r>
      </w:hyperlink>
      <w:r w:rsidRPr="000F083B">
        <w:rPr>
          <w:rFonts w:ascii="Arial" w:hAnsi="Arial" w:cs="Arial"/>
        </w:rPr>
        <w:t>.</w:t>
      </w:r>
    </w:p>
  </w:footnote>
  <w:footnote w:id="25">
    <w:p w14:paraId="51591356" w14:textId="77777777" w:rsidR="00CC7EB4" w:rsidRPr="000F083B" w:rsidRDefault="00CC7EB4" w:rsidP="00CC7EB4">
      <w:pPr>
        <w:pStyle w:val="FootnoteText"/>
        <w:rPr>
          <w:rFonts w:ascii="Arial" w:hAnsi="Arial" w:cs="Arial"/>
          <w:lang w:val="en-US"/>
        </w:rPr>
      </w:pPr>
      <w:r w:rsidRPr="000F083B">
        <w:rPr>
          <w:rStyle w:val="FootnoteReference"/>
          <w:rFonts w:ascii="Arial" w:hAnsi="Arial" w:cs="Arial"/>
        </w:rPr>
        <w:footnoteRef/>
      </w:r>
      <w:r w:rsidRPr="000F083B">
        <w:rPr>
          <w:rFonts w:ascii="Arial" w:hAnsi="Arial" w:cs="Arial"/>
        </w:rPr>
        <w:t xml:space="preserve"> Radin, above, n 22, at 10.</w:t>
      </w:r>
    </w:p>
  </w:footnote>
  <w:footnote w:id="26">
    <w:p w14:paraId="6147BDEE" w14:textId="77777777" w:rsidR="00CC7EB4" w:rsidRPr="000F083B" w:rsidRDefault="00CC7EB4" w:rsidP="00CC7EB4">
      <w:pPr>
        <w:pStyle w:val="FootnoteText"/>
        <w:rPr>
          <w:rFonts w:ascii="Arial" w:hAnsi="Arial" w:cs="Arial"/>
          <w:lang w:val="en-US"/>
        </w:rPr>
      </w:pPr>
      <w:r w:rsidRPr="000F083B">
        <w:rPr>
          <w:rStyle w:val="FootnoteReference"/>
          <w:rFonts w:ascii="Arial" w:hAnsi="Arial" w:cs="Arial"/>
        </w:rPr>
        <w:footnoteRef/>
      </w:r>
      <w:r w:rsidRPr="000F083B">
        <w:rPr>
          <w:rFonts w:ascii="Arial" w:hAnsi="Arial" w:cs="Arial"/>
        </w:rPr>
        <w:t xml:space="preserve"> At 10.</w:t>
      </w:r>
    </w:p>
  </w:footnote>
  <w:footnote w:id="27">
    <w:p w14:paraId="184E3EB0" w14:textId="77777777" w:rsidR="00CC7EB4" w:rsidRPr="000C2D20" w:rsidRDefault="00CC7EB4" w:rsidP="00CC7EB4">
      <w:pPr>
        <w:pStyle w:val="FootnoteText"/>
        <w:rPr>
          <w:rFonts w:ascii="Arial" w:hAnsi="Arial" w:cs="Arial"/>
          <w:lang w:val="en-US"/>
        </w:rPr>
      </w:pPr>
      <w:r w:rsidRPr="000F083B">
        <w:rPr>
          <w:rStyle w:val="FootnoteReference"/>
          <w:rFonts w:ascii="Arial" w:hAnsi="Arial" w:cs="Arial"/>
        </w:rPr>
        <w:footnoteRef/>
      </w:r>
      <w:r w:rsidRPr="000F083B">
        <w:rPr>
          <w:rFonts w:ascii="Arial" w:hAnsi="Arial" w:cs="Arial"/>
        </w:rPr>
        <w:t xml:space="preserve"> At 10.</w:t>
      </w:r>
    </w:p>
  </w:footnote>
  <w:footnote w:id="28">
    <w:p w14:paraId="0CC796A5" w14:textId="77777777" w:rsidR="00CC7EB4" w:rsidRPr="00BA6D17" w:rsidRDefault="00CC7EB4" w:rsidP="00CC7EB4">
      <w:pPr>
        <w:pStyle w:val="FootnoteText"/>
        <w:rPr>
          <w:rFonts w:ascii="Arial" w:hAnsi="Arial" w:cs="Arial"/>
          <w:lang w:val="en-US"/>
        </w:rPr>
      </w:pPr>
      <w:r w:rsidRPr="00BA6D17">
        <w:rPr>
          <w:rStyle w:val="FootnoteReference"/>
          <w:rFonts w:ascii="Arial" w:hAnsi="Arial" w:cs="Arial"/>
        </w:rPr>
        <w:footnoteRef/>
      </w:r>
      <w:r w:rsidRPr="00BA6D17">
        <w:rPr>
          <w:rFonts w:ascii="Arial" w:hAnsi="Arial" w:cs="Arial"/>
        </w:rPr>
        <w:t xml:space="preserve"> Radin, above n </w:t>
      </w:r>
      <w:r>
        <w:rPr>
          <w:rFonts w:ascii="Arial" w:hAnsi="Arial" w:cs="Arial"/>
        </w:rPr>
        <w:t>22,</w:t>
      </w:r>
      <w:r w:rsidRPr="00BA6D17">
        <w:rPr>
          <w:rFonts w:ascii="Arial" w:hAnsi="Arial" w:cs="Arial"/>
        </w:rPr>
        <w:t xml:space="preserve"> at 11.</w:t>
      </w:r>
    </w:p>
  </w:footnote>
  <w:footnote w:id="29">
    <w:p w14:paraId="5FEAEDF7" w14:textId="77777777" w:rsidR="00CC7EB4" w:rsidRPr="00BA6D17" w:rsidRDefault="00CC7EB4" w:rsidP="00CC7EB4">
      <w:pPr>
        <w:pStyle w:val="FootnoteText"/>
        <w:rPr>
          <w:rFonts w:ascii="Arial" w:hAnsi="Arial" w:cs="Arial"/>
          <w:lang w:val="en-US"/>
        </w:rPr>
      </w:pPr>
      <w:r w:rsidRPr="00BA6D17">
        <w:rPr>
          <w:rStyle w:val="FootnoteReference"/>
          <w:rFonts w:ascii="Arial" w:hAnsi="Arial" w:cs="Arial"/>
        </w:rPr>
        <w:footnoteRef/>
      </w:r>
      <w:r w:rsidRPr="00BA6D17">
        <w:rPr>
          <w:rFonts w:ascii="Arial" w:hAnsi="Arial" w:cs="Arial"/>
        </w:rPr>
        <w:t xml:space="preserve"> At 11.</w:t>
      </w:r>
    </w:p>
  </w:footnote>
  <w:footnote w:id="30">
    <w:p w14:paraId="52B7F525" w14:textId="77777777" w:rsidR="00CC7EB4" w:rsidRPr="00BA6D17" w:rsidRDefault="00CC7EB4" w:rsidP="00CC7EB4">
      <w:pPr>
        <w:pStyle w:val="FootnoteText"/>
        <w:rPr>
          <w:rFonts w:ascii="Arial" w:hAnsi="Arial" w:cs="Arial"/>
          <w:lang w:val="en-US"/>
        </w:rPr>
      </w:pPr>
      <w:r w:rsidRPr="00BA6D17">
        <w:rPr>
          <w:rStyle w:val="FootnoteReference"/>
          <w:rFonts w:ascii="Arial" w:hAnsi="Arial" w:cs="Arial"/>
        </w:rPr>
        <w:footnoteRef/>
      </w:r>
      <w:r w:rsidRPr="00BA6D17">
        <w:rPr>
          <w:rFonts w:ascii="Arial" w:hAnsi="Arial" w:cs="Arial"/>
        </w:rPr>
        <w:t xml:space="preserve"> Margaret Radin</w:t>
      </w:r>
      <w:r>
        <w:rPr>
          <w:rFonts w:ascii="Arial" w:hAnsi="Arial" w:cs="Arial"/>
        </w:rPr>
        <w:t xml:space="preserve"> “Humans, Com</w:t>
      </w:r>
      <w:r w:rsidRPr="00BA6D17">
        <w:rPr>
          <w:rFonts w:ascii="Arial" w:hAnsi="Arial" w:cs="Arial"/>
        </w:rPr>
        <w:t>puters, and Binding Commitment</w:t>
      </w:r>
      <w:r>
        <w:rPr>
          <w:rFonts w:ascii="Arial" w:hAnsi="Arial" w:cs="Arial"/>
        </w:rPr>
        <w:t>” (2000) 75 Ind.L.J. 1125</w:t>
      </w:r>
      <w:r w:rsidRPr="00BA6D17">
        <w:rPr>
          <w:rFonts w:ascii="Arial" w:hAnsi="Arial" w:cs="Arial"/>
        </w:rPr>
        <w:t xml:space="preserve"> at 1128.</w:t>
      </w:r>
      <w:r>
        <w:rPr>
          <w:rFonts w:ascii="Arial" w:hAnsi="Arial" w:cs="Arial"/>
        </w:rPr>
        <w:t xml:space="preserve"> </w:t>
      </w:r>
    </w:p>
  </w:footnote>
  <w:footnote w:id="31">
    <w:p w14:paraId="7644732A" w14:textId="77777777" w:rsidR="00CC7EB4" w:rsidRPr="00BA6D17" w:rsidRDefault="00CC7EB4" w:rsidP="00CC7EB4">
      <w:pPr>
        <w:pStyle w:val="FootnoteText"/>
        <w:rPr>
          <w:rFonts w:ascii="Arial" w:hAnsi="Arial" w:cs="Arial"/>
          <w:lang w:val="en-US"/>
        </w:rPr>
      </w:pPr>
      <w:r w:rsidRPr="00BA6D17">
        <w:rPr>
          <w:rStyle w:val="FootnoteReference"/>
          <w:rFonts w:ascii="Arial" w:hAnsi="Arial" w:cs="Arial"/>
        </w:rPr>
        <w:footnoteRef/>
      </w:r>
      <w:r w:rsidRPr="00BA6D17">
        <w:rPr>
          <w:rFonts w:ascii="Arial" w:hAnsi="Arial" w:cs="Arial"/>
        </w:rPr>
        <w:t xml:space="preserve"> Robert Lee Dickens “Finding Common Ground in the World of Electronic Contracts: The Consistency of Legal Reasoning in Clickwrap Cases” (2007) 11 Intellectual Property L. Rev. 379 at 390.</w:t>
      </w:r>
    </w:p>
  </w:footnote>
  <w:footnote w:id="32">
    <w:p w14:paraId="3B031396" w14:textId="77777777" w:rsidR="00CC7EB4" w:rsidRPr="00E65E9F" w:rsidRDefault="00CC7EB4" w:rsidP="00CC7EB4">
      <w:pPr>
        <w:pStyle w:val="FootnoteText"/>
        <w:rPr>
          <w:rStyle w:val="FootnoteReference"/>
          <w:rFonts w:ascii="Arial" w:hAnsi="Arial" w:cs="Arial"/>
        </w:rPr>
      </w:pPr>
      <w:r w:rsidRPr="00BA6D17">
        <w:rPr>
          <w:rStyle w:val="FootnoteReference"/>
          <w:rFonts w:ascii="Arial" w:hAnsi="Arial" w:cs="Arial"/>
        </w:rPr>
        <w:footnoteRef/>
      </w:r>
      <w:r w:rsidRPr="00BA6D17">
        <w:rPr>
          <w:rFonts w:ascii="Arial" w:hAnsi="Arial" w:cs="Arial"/>
        </w:rPr>
        <w:t xml:space="preserve"> Radin, above n </w:t>
      </w:r>
      <w:r>
        <w:rPr>
          <w:rFonts w:ascii="Arial" w:hAnsi="Arial" w:cs="Arial"/>
        </w:rPr>
        <w:t xml:space="preserve">22, </w:t>
      </w:r>
      <w:r w:rsidRPr="00BA6D17">
        <w:rPr>
          <w:rFonts w:ascii="Arial" w:hAnsi="Arial" w:cs="Arial"/>
        </w:rPr>
        <w:t xml:space="preserve">at 11: see, for example </w:t>
      </w:r>
      <w:r w:rsidRPr="00BA6D17">
        <w:rPr>
          <w:rFonts w:ascii="Arial" w:hAnsi="Arial" w:cs="Arial"/>
          <w:i/>
          <w:iCs/>
          <w:color w:val="202122"/>
        </w:rPr>
        <w:t xml:space="preserve">Kwan v. Clearwire </w:t>
      </w:r>
      <w:r w:rsidRPr="00BA6D17">
        <w:rPr>
          <w:rStyle w:val="FootnoteReference"/>
          <w:rFonts w:ascii="Arial" w:hAnsi="Arial" w:cs="Arial"/>
          <w:vertAlign w:val="baseline"/>
        </w:rPr>
        <w:t>Corp., No. C09-1392JLR, 2012 WL 32380 (W.D. Wash. Jan. 3, 2012).</w:t>
      </w:r>
    </w:p>
  </w:footnote>
  <w:footnote w:id="33">
    <w:p w14:paraId="0013289A" w14:textId="77777777" w:rsidR="00CC7EB4" w:rsidRPr="0099569F" w:rsidRDefault="00CC7EB4" w:rsidP="00CC7EB4">
      <w:pPr>
        <w:pStyle w:val="FootnoteText"/>
        <w:rPr>
          <w:rFonts w:ascii="Arial" w:hAnsi="Arial" w:cs="Arial"/>
          <w:lang w:val="en-US"/>
        </w:rPr>
      </w:pPr>
      <w:r w:rsidRPr="0099569F">
        <w:rPr>
          <w:rStyle w:val="FootnoteReference"/>
          <w:rFonts w:ascii="Arial" w:hAnsi="Arial" w:cs="Arial"/>
        </w:rPr>
        <w:footnoteRef/>
      </w:r>
      <w:r w:rsidRPr="0099569F">
        <w:rPr>
          <w:rFonts w:ascii="Arial" w:hAnsi="Arial" w:cs="Arial"/>
        </w:rPr>
        <w:t xml:space="preserve"> At 12.</w:t>
      </w:r>
    </w:p>
  </w:footnote>
  <w:footnote w:id="34">
    <w:p w14:paraId="7A095DE1" w14:textId="77777777" w:rsidR="00CC7EB4" w:rsidRPr="0099569F" w:rsidRDefault="00CC7EB4" w:rsidP="00CC7EB4">
      <w:pPr>
        <w:pStyle w:val="FootnoteText"/>
        <w:rPr>
          <w:rFonts w:ascii="Arial" w:hAnsi="Arial" w:cs="Arial"/>
          <w:lang w:val="en-US"/>
        </w:rPr>
      </w:pPr>
      <w:r w:rsidRPr="0099569F">
        <w:rPr>
          <w:rStyle w:val="FootnoteReference"/>
          <w:rFonts w:ascii="Arial" w:hAnsi="Arial" w:cs="Arial"/>
        </w:rPr>
        <w:footnoteRef/>
      </w:r>
      <w:r w:rsidRPr="0099569F">
        <w:rPr>
          <w:rFonts w:ascii="Arial" w:hAnsi="Arial" w:cs="Arial"/>
        </w:rPr>
        <w:t xml:space="preserve"> </w:t>
      </w:r>
      <w:r w:rsidRPr="0099569F">
        <w:rPr>
          <w:rFonts w:ascii="Arial" w:hAnsi="Arial" w:cs="Arial"/>
          <w:i/>
          <w:iCs/>
        </w:rPr>
        <w:t xml:space="preserve">Specht v Netscape Communications Corp </w:t>
      </w:r>
      <w:r w:rsidRPr="0099569F">
        <w:rPr>
          <w:rFonts w:ascii="Arial" w:hAnsi="Arial" w:cs="Arial"/>
        </w:rPr>
        <w:t>306 F.3d 17 (2d Cir. 2002).</w:t>
      </w:r>
    </w:p>
  </w:footnote>
  <w:footnote w:id="35">
    <w:p w14:paraId="54637AF2" w14:textId="77777777" w:rsidR="00CC7EB4" w:rsidRPr="0099569F" w:rsidRDefault="00CC7EB4" w:rsidP="00CC7EB4">
      <w:pPr>
        <w:pStyle w:val="FootnoteText"/>
        <w:rPr>
          <w:rFonts w:ascii="Arial" w:hAnsi="Arial" w:cs="Arial"/>
          <w:lang w:val="en-US"/>
        </w:rPr>
      </w:pPr>
      <w:r w:rsidRPr="0099569F">
        <w:rPr>
          <w:rStyle w:val="FootnoteReference"/>
          <w:rFonts w:ascii="Arial" w:hAnsi="Arial" w:cs="Arial"/>
        </w:rPr>
        <w:footnoteRef/>
      </w:r>
      <w:r w:rsidRPr="0099569F">
        <w:rPr>
          <w:rFonts w:ascii="Arial" w:hAnsi="Arial" w:cs="Arial"/>
        </w:rPr>
        <w:t xml:space="preserve"> </w:t>
      </w:r>
      <w:r w:rsidRPr="0099569F">
        <w:rPr>
          <w:rFonts w:ascii="Arial" w:hAnsi="Arial" w:cs="Arial"/>
          <w:i/>
          <w:iCs/>
        </w:rPr>
        <w:t xml:space="preserve">Hubbert v Dell Corp </w:t>
      </w:r>
      <w:r w:rsidRPr="0099569F">
        <w:rPr>
          <w:rFonts w:ascii="Arial" w:hAnsi="Arial" w:cs="Arial"/>
        </w:rPr>
        <w:t>835 N.E. 2d 113 (III. App. Ct. 2005).</w:t>
      </w:r>
    </w:p>
  </w:footnote>
  <w:footnote w:id="36">
    <w:p w14:paraId="07708749" w14:textId="77777777" w:rsidR="00CC7EB4" w:rsidRPr="0099569F" w:rsidRDefault="00CC7EB4" w:rsidP="00CC7EB4">
      <w:pPr>
        <w:pStyle w:val="FootnoteText"/>
        <w:rPr>
          <w:rFonts w:ascii="Arial" w:hAnsi="Arial" w:cs="Arial"/>
          <w:lang w:val="en-US"/>
        </w:rPr>
      </w:pPr>
      <w:r w:rsidRPr="0099569F">
        <w:rPr>
          <w:rStyle w:val="FootnoteReference"/>
          <w:rFonts w:ascii="Arial" w:hAnsi="Arial" w:cs="Arial"/>
        </w:rPr>
        <w:footnoteRef/>
      </w:r>
      <w:r w:rsidRPr="0099569F">
        <w:rPr>
          <w:rFonts w:ascii="Arial" w:hAnsi="Arial" w:cs="Arial"/>
        </w:rPr>
        <w:t xml:space="preserve"> </w:t>
      </w:r>
      <w:r w:rsidRPr="0099569F">
        <w:rPr>
          <w:rFonts w:ascii="Arial" w:hAnsi="Arial" w:cs="Arial"/>
          <w:lang w:val="en-US"/>
        </w:rPr>
        <w:t xml:space="preserve">Radin, above n </w:t>
      </w:r>
      <w:r>
        <w:rPr>
          <w:rFonts w:ascii="Arial" w:hAnsi="Arial" w:cs="Arial"/>
          <w:lang w:val="en-US"/>
        </w:rPr>
        <w:t>16</w:t>
      </w:r>
      <w:r w:rsidRPr="0099569F">
        <w:rPr>
          <w:rFonts w:ascii="Arial" w:hAnsi="Arial" w:cs="Arial"/>
          <w:lang w:val="en-US"/>
        </w:rPr>
        <w:t>, at 522.</w:t>
      </w:r>
    </w:p>
  </w:footnote>
  <w:footnote w:id="37">
    <w:p w14:paraId="0302A82E" w14:textId="77777777" w:rsidR="00CC7EB4" w:rsidRPr="0099569F" w:rsidRDefault="00CC7EB4" w:rsidP="00CC7EB4">
      <w:pPr>
        <w:pStyle w:val="FootnoteText"/>
        <w:rPr>
          <w:rFonts w:ascii="Arial" w:hAnsi="Arial" w:cs="Arial"/>
          <w:lang w:val="en-US"/>
        </w:rPr>
      </w:pPr>
      <w:r w:rsidRPr="0099569F">
        <w:rPr>
          <w:rStyle w:val="FootnoteReference"/>
          <w:rFonts w:ascii="Arial" w:hAnsi="Arial" w:cs="Arial"/>
        </w:rPr>
        <w:footnoteRef/>
      </w:r>
      <w:r w:rsidRPr="0099569F">
        <w:rPr>
          <w:rFonts w:ascii="Arial" w:hAnsi="Arial" w:cs="Arial"/>
        </w:rPr>
        <w:t xml:space="preserve"> </w:t>
      </w:r>
      <w:r w:rsidRPr="0099569F">
        <w:rPr>
          <w:rFonts w:ascii="Arial" w:hAnsi="Arial" w:cs="Arial"/>
          <w:lang w:val="en-US"/>
        </w:rPr>
        <w:t>Trish O’Sullivan “Online Shopping Terms and Conditions in Practice: Validity of Incorporation and Unfairness” (2014) 20 Canterbury. L. Rev. 1 at 10.</w:t>
      </w:r>
    </w:p>
  </w:footnote>
  <w:footnote w:id="38">
    <w:p w14:paraId="17FAAA14" w14:textId="77777777" w:rsidR="00CC7EB4" w:rsidRPr="00CE3F9D" w:rsidRDefault="00CC7EB4" w:rsidP="00CC7EB4">
      <w:pPr>
        <w:pStyle w:val="FootnoteText"/>
        <w:rPr>
          <w:rFonts w:ascii="Arial" w:hAnsi="Arial" w:cs="Arial"/>
        </w:rPr>
      </w:pPr>
      <w:r w:rsidRPr="00CE3F9D">
        <w:rPr>
          <w:rStyle w:val="FootnoteReference"/>
          <w:rFonts w:ascii="Arial" w:hAnsi="Arial" w:cs="Arial"/>
        </w:rPr>
        <w:footnoteRef/>
      </w:r>
      <w:r w:rsidRPr="00CE3F9D">
        <w:rPr>
          <w:rFonts w:ascii="Arial" w:hAnsi="Arial" w:cs="Arial"/>
        </w:rPr>
        <w:t xml:space="preserve"> Florencia Marotta-Wurgler “What’s in a Standard Form Contract? An Empirical Analysis of Software License Agreements” (2007) 4 Journal of Empirical Legal Studies 677 at 680.</w:t>
      </w:r>
    </w:p>
  </w:footnote>
  <w:footnote w:id="39">
    <w:p w14:paraId="065B920B" w14:textId="77777777" w:rsidR="00CC7EB4" w:rsidRPr="00CE3F9D" w:rsidRDefault="00CC7EB4" w:rsidP="00CC7EB4">
      <w:pPr>
        <w:pStyle w:val="FootnoteText"/>
        <w:rPr>
          <w:rFonts w:ascii="Arial" w:hAnsi="Arial" w:cs="Arial"/>
          <w:lang w:val="en-US"/>
        </w:rPr>
      </w:pPr>
      <w:r w:rsidRPr="00CE3F9D">
        <w:rPr>
          <w:rStyle w:val="FootnoteReference"/>
          <w:rFonts w:ascii="Arial" w:hAnsi="Arial" w:cs="Arial"/>
        </w:rPr>
        <w:footnoteRef/>
      </w:r>
      <w:r w:rsidRPr="00CE3F9D">
        <w:rPr>
          <w:rFonts w:ascii="Arial" w:hAnsi="Arial" w:cs="Arial"/>
        </w:rPr>
        <w:t xml:space="preserve"> An exemption clause exempts the liability of the drafter.</w:t>
      </w:r>
    </w:p>
  </w:footnote>
  <w:footnote w:id="40">
    <w:p w14:paraId="01FE7323" w14:textId="77777777" w:rsidR="00CC7EB4" w:rsidRPr="006B68CB" w:rsidRDefault="00CC7EB4" w:rsidP="00CC7EB4">
      <w:pPr>
        <w:pStyle w:val="FootnoteText"/>
        <w:rPr>
          <w:rFonts w:ascii="Arial" w:hAnsi="Arial" w:cs="Arial"/>
          <w:lang w:val="en-US"/>
        </w:rPr>
      </w:pPr>
      <w:r w:rsidRPr="00CE3F9D">
        <w:rPr>
          <w:rStyle w:val="FootnoteReference"/>
          <w:rFonts w:ascii="Arial" w:hAnsi="Arial" w:cs="Arial"/>
        </w:rPr>
        <w:footnoteRef/>
      </w:r>
      <w:r w:rsidRPr="00CE3F9D">
        <w:rPr>
          <w:rFonts w:ascii="Arial" w:hAnsi="Arial" w:cs="Arial"/>
        </w:rPr>
        <w:t xml:space="preserve"> A governing law clause selects the law which applies in the event of a dispute.</w:t>
      </w:r>
    </w:p>
  </w:footnote>
  <w:footnote w:id="41">
    <w:p w14:paraId="1993AF9A" w14:textId="77777777" w:rsidR="00CC7EB4" w:rsidRPr="00C56870" w:rsidRDefault="00CC7EB4" w:rsidP="00CC7EB4">
      <w:pPr>
        <w:pStyle w:val="FootnoteText"/>
        <w:rPr>
          <w:rFonts w:ascii="Arial" w:hAnsi="Arial" w:cs="Arial"/>
          <w:lang w:val="en-US"/>
        </w:rPr>
      </w:pPr>
      <w:r w:rsidRPr="00C56870">
        <w:rPr>
          <w:rStyle w:val="FootnoteReference"/>
          <w:rFonts w:ascii="Arial" w:hAnsi="Arial" w:cs="Arial"/>
        </w:rPr>
        <w:footnoteRef/>
      </w:r>
      <w:r w:rsidRPr="00C56870">
        <w:rPr>
          <w:rFonts w:ascii="Arial" w:hAnsi="Arial" w:cs="Arial"/>
        </w:rPr>
        <w:t xml:space="preserve"> Friedrich Kessler “The Contracts of Adhesion—Some Thoughts about Freedom of Contract Role of Compulsion in Economic Transactions” (1943) 43 Colum. L. Rev 629</w:t>
      </w:r>
      <w:r>
        <w:rPr>
          <w:rFonts w:ascii="Arial" w:hAnsi="Arial" w:cs="Arial"/>
        </w:rPr>
        <w:t>.</w:t>
      </w:r>
    </w:p>
  </w:footnote>
  <w:footnote w:id="42">
    <w:p w14:paraId="51C46F07" w14:textId="77777777" w:rsidR="00CC7EB4" w:rsidRPr="00C56870" w:rsidRDefault="00CC7EB4" w:rsidP="00CC7EB4">
      <w:pPr>
        <w:pStyle w:val="FootnoteText"/>
        <w:rPr>
          <w:rFonts w:ascii="Arial" w:hAnsi="Arial" w:cs="Arial"/>
          <w:lang w:val="en-US"/>
        </w:rPr>
      </w:pPr>
      <w:r w:rsidRPr="00C56870">
        <w:rPr>
          <w:rStyle w:val="FootnoteReference"/>
          <w:rFonts w:ascii="Arial" w:hAnsi="Arial" w:cs="Arial"/>
        </w:rPr>
        <w:footnoteRef/>
      </w:r>
      <w:r w:rsidRPr="00C56870">
        <w:rPr>
          <w:rFonts w:ascii="Arial" w:hAnsi="Arial" w:cs="Arial"/>
        </w:rPr>
        <w:t xml:space="preserve"> </w:t>
      </w:r>
      <w:r w:rsidRPr="00C56870">
        <w:rPr>
          <w:rFonts w:ascii="Arial" w:hAnsi="Arial" w:cs="Arial"/>
          <w:i/>
          <w:iCs/>
        </w:rPr>
        <w:t xml:space="preserve">Uber Technologies Inc v Heller, </w:t>
      </w:r>
      <w:r w:rsidRPr="00C56870">
        <w:rPr>
          <w:rFonts w:ascii="Arial" w:hAnsi="Arial" w:cs="Arial"/>
        </w:rPr>
        <w:t xml:space="preserve">above n </w:t>
      </w:r>
      <w:r>
        <w:rPr>
          <w:rFonts w:ascii="Arial" w:hAnsi="Arial" w:cs="Arial"/>
        </w:rPr>
        <w:t>5</w:t>
      </w:r>
      <w:r w:rsidRPr="00C56870">
        <w:rPr>
          <w:rFonts w:ascii="Arial" w:hAnsi="Arial" w:cs="Arial"/>
        </w:rPr>
        <w:t>.</w:t>
      </w:r>
    </w:p>
  </w:footnote>
  <w:footnote w:id="43">
    <w:p w14:paraId="77E44657" w14:textId="77777777" w:rsidR="00CC7EB4" w:rsidRPr="00C56870" w:rsidRDefault="00CC7EB4" w:rsidP="00CC7EB4">
      <w:pPr>
        <w:pStyle w:val="FootnoteText"/>
        <w:rPr>
          <w:rFonts w:ascii="Arial" w:hAnsi="Arial" w:cs="Arial"/>
          <w:lang w:val="en-US"/>
        </w:rPr>
      </w:pPr>
      <w:r w:rsidRPr="00C56870">
        <w:rPr>
          <w:rStyle w:val="FootnoteReference"/>
          <w:rFonts w:ascii="Arial" w:hAnsi="Arial" w:cs="Arial"/>
        </w:rPr>
        <w:footnoteRef/>
      </w:r>
      <w:r w:rsidRPr="00C56870">
        <w:rPr>
          <w:rFonts w:ascii="Arial" w:hAnsi="Arial" w:cs="Arial"/>
        </w:rPr>
        <w:t xml:space="preserve"> </w:t>
      </w:r>
      <w:r w:rsidRPr="00C56870">
        <w:rPr>
          <w:rFonts w:ascii="Arial" w:hAnsi="Arial" w:cs="Arial"/>
          <w:i/>
          <w:iCs/>
        </w:rPr>
        <w:t xml:space="preserve">Commerce Commission v Home Direct, </w:t>
      </w:r>
      <w:r w:rsidRPr="00C56870">
        <w:rPr>
          <w:rFonts w:ascii="Arial" w:hAnsi="Arial" w:cs="Arial"/>
        </w:rPr>
        <w:t xml:space="preserve">above n </w:t>
      </w:r>
      <w:r>
        <w:rPr>
          <w:rFonts w:ascii="Arial" w:hAnsi="Arial" w:cs="Arial"/>
        </w:rPr>
        <w:t>15</w:t>
      </w:r>
      <w:r w:rsidRPr="00C56870">
        <w:rPr>
          <w:rFonts w:ascii="Arial" w:hAnsi="Arial" w:cs="Arial"/>
        </w:rPr>
        <w:t>.</w:t>
      </w:r>
    </w:p>
  </w:footnote>
  <w:footnote w:id="44">
    <w:p w14:paraId="0B6B7FE7" w14:textId="77777777" w:rsidR="00CC7EB4" w:rsidRPr="006B2B3F" w:rsidRDefault="00CC7EB4" w:rsidP="00CC7EB4">
      <w:pPr>
        <w:pStyle w:val="FootnoteText"/>
        <w:rPr>
          <w:rFonts w:ascii="Arial" w:hAnsi="Arial" w:cs="Arial"/>
        </w:rPr>
      </w:pPr>
      <w:r w:rsidRPr="006B2B3F">
        <w:rPr>
          <w:rStyle w:val="FootnoteReference"/>
          <w:rFonts w:ascii="Arial" w:hAnsi="Arial" w:cs="Arial"/>
        </w:rPr>
        <w:footnoteRef/>
      </w:r>
      <w:r w:rsidRPr="006B2B3F">
        <w:rPr>
          <w:rFonts w:ascii="Arial" w:hAnsi="Arial" w:cs="Arial"/>
        </w:rPr>
        <w:t xml:space="preserve"> While contract law has several different philosophical underpinnings, the “will theory” is arguably the most prominent</w:t>
      </w:r>
      <w:r>
        <w:rPr>
          <w:rFonts w:ascii="Arial" w:hAnsi="Arial" w:cs="Arial"/>
        </w:rPr>
        <w:t>.</w:t>
      </w:r>
    </w:p>
  </w:footnote>
  <w:footnote w:id="45">
    <w:p w14:paraId="361683FB" w14:textId="77777777" w:rsidR="00CC7EB4" w:rsidRPr="006B2B3F" w:rsidRDefault="00CC7EB4" w:rsidP="00CC7EB4">
      <w:pPr>
        <w:pStyle w:val="FootnoteText"/>
        <w:rPr>
          <w:rFonts w:ascii="Arial" w:hAnsi="Arial" w:cs="Arial"/>
          <w:lang w:val="en-US"/>
        </w:rPr>
      </w:pPr>
      <w:r w:rsidRPr="006B2B3F">
        <w:rPr>
          <w:rStyle w:val="FootnoteReference"/>
          <w:rFonts w:ascii="Arial" w:hAnsi="Arial" w:cs="Arial"/>
        </w:rPr>
        <w:footnoteRef/>
      </w:r>
      <w:r w:rsidRPr="006B2B3F">
        <w:rPr>
          <w:rFonts w:ascii="Arial" w:hAnsi="Arial" w:cs="Arial"/>
        </w:rPr>
        <w:t xml:space="preserve"> </w:t>
      </w:r>
      <w:r w:rsidRPr="006B2B3F">
        <w:rPr>
          <w:rFonts w:ascii="Arial" w:hAnsi="Arial" w:cs="Arial"/>
          <w:i/>
          <w:iCs/>
        </w:rPr>
        <w:t xml:space="preserve">L’Estrange v F Graucob Ltd </w:t>
      </w:r>
      <w:r w:rsidRPr="006B2B3F">
        <w:rPr>
          <w:rFonts w:ascii="Arial" w:hAnsi="Arial" w:cs="Arial"/>
        </w:rPr>
        <w:t>[1934] 2 KB 394.</w:t>
      </w:r>
    </w:p>
  </w:footnote>
  <w:footnote w:id="46">
    <w:p w14:paraId="18D1FD77" w14:textId="77777777" w:rsidR="00CC7EB4" w:rsidRPr="006B2B3F" w:rsidRDefault="00CC7EB4" w:rsidP="00CC7EB4">
      <w:pPr>
        <w:pStyle w:val="FootnoteText"/>
        <w:rPr>
          <w:rFonts w:ascii="Arial" w:hAnsi="Arial" w:cs="Arial"/>
          <w:lang w:val="en-US"/>
        </w:rPr>
      </w:pPr>
      <w:r w:rsidRPr="006B2B3F">
        <w:rPr>
          <w:rStyle w:val="FootnoteReference"/>
          <w:rFonts w:ascii="Arial" w:hAnsi="Arial" w:cs="Arial"/>
        </w:rPr>
        <w:footnoteRef/>
      </w:r>
      <w:r w:rsidRPr="006B2B3F">
        <w:rPr>
          <w:rFonts w:ascii="Arial" w:hAnsi="Arial" w:cs="Arial"/>
        </w:rPr>
        <w:t xml:space="preserve"> </w:t>
      </w:r>
      <w:r w:rsidRPr="006B2B3F">
        <w:rPr>
          <w:rFonts w:ascii="Arial" w:hAnsi="Arial" w:cs="Arial"/>
          <w:lang w:val="en-US"/>
        </w:rPr>
        <w:t>Radin</w:t>
      </w:r>
      <w:r>
        <w:rPr>
          <w:rFonts w:ascii="Arial" w:hAnsi="Arial" w:cs="Arial"/>
          <w:lang w:val="en-US"/>
        </w:rPr>
        <w:t>, above n 22.</w:t>
      </w:r>
    </w:p>
  </w:footnote>
  <w:footnote w:id="47">
    <w:p w14:paraId="4AF58A6F" w14:textId="77777777" w:rsidR="00CC7EB4" w:rsidRPr="006B2B3F" w:rsidRDefault="00CC7EB4" w:rsidP="00CC7EB4">
      <w:pPr>
        <w:rPr>
          <w:rFonts w:ascii="Arial" w:hAnsi="Arial" w:cs="Arial"/>
          <w:color w:val="000000" w:themeColor="text1"/>
          <w:sz w:val="20"/>
          <w:szCs w:val="20"/>
        </w:rPr>
      </w:pPr>
      <w:r w:rsidRPr="006B2B3F">
        <w:rPr>
          <w:rStyle w:val="FootnoteReference"/>
          <w:rFonts w:ascii="Arial" w:hAnsi="Arial" w:cs="Arial"/>
          <w:sz w:val="20"/>
          <w:szCs w:val="20"/>
        </w:rPr>
        <w:footnoteRef/>
      </w:r>
      <w:r w:rsidRPr="006B2B3F">
        <w:rPr>
          <w:rFonts w:ascii="Arial" w:hAnsi="Arial" w:cs="Arial"/>
          <w:sz w:val="20"/>
          <w:szCs w:val="20"/>
        </w:rPr>
        <w:t xml:space="preserve"> Nathan. B Oman “</w:t>
      </w:r>
      <w:r w:rsidRPr="006B2B3F">
        <w:rPr>
          <w:rFonts w:ascii="Arial" w:hAnsi="Arial" w:cs="Arial"/>
          <w:color w:val="000000" w:themeColor="text1"/>
          <w:sz w:val="20"/>
          <w:szCs w:val="20"/>
          <w:shd w:val="clear" w:color="auto" w:fill="FFFFFF"/>
        </w:rPr>
        <w:t xml:space="preserve">Reconsidering contractual consent: why we shouldn’t worry too much about boilerplate and other puzzles” </w:t>
      </w:r>
      <w:r>
        <w:rPr>
          <w:rFonts w:ascii="Arial" w:hAnsi="Arial" w:cs="Arial"/>
          <w:color w:val="000000" w:themeColor="text1"/>
          <w:sz w:val="20"/>
          <w:szCs w:val="20"/>
          <w:shd w:val="clear" w:color="auto" w:fill="FFFFFF"/>
        </w:rPr>
        <w:t>(2017) 83 Brook. L. Rev 215 at 249.</w:t>
      </w:r>
    </w:p>
  </w:footnote>
  <w:footnote w:id="48">
    <w:p w14:paraId="48CC93BF" w14:textId="77777777" w:rsidR="00CC7EB4" w:rsidRPr="006B2B3F" w:rsidRDefault="00CC7EB4" w:rsidP="00CC7EB4">
      <w:pPr>
        <w:pStyle w:val="FootnoteText"/>
        <w:rPr>
          <w:rFonts w:ascii="Arial" w:hAnsi="Arial" w:cs="Arial"/>
          <w:lang w:val="en-US"/>
        </w:rPr>
      </w:pPr>
      <w:r w:rsidRPr="006B2B3F">
        <w:rPr>
          <w:rStyle w:val="FootnoteReference"/>
          <w:rFonts w:ascii="Arial" w:hAnsi="Arial" w:cs="Arial"/>
        </w:rPr>
        <w:footnoteRef/>
      </w:r>
      <w:r w:rsidRPr="006B2B3F">
        <w:rPr>
          <w:rFonts w:ascii="Arial" w:hAnsi="Arial" w:cs="Arial"/>
        </w:rPr>
        <w:t xml:space="preserve"> </w:t>
      </w:r>
      <w:r>
        <w:rPr>
          <w:rFonts w:ascii="Arial" w:hAnsi="Arial" w:cs="Arial"/>
        </w:rPr>
        <w:t>George Gluck “Standard Form Contracts: The Contract Theory Reconsidered” (1979) 28 Int’l &amp; Comp. L. Q 72 at 74.</w:t>
      </w:r>
    </w:p>
  </w:footnote>
  <w:footnote w:id="49">
    <w:p w14:paraId="6B4CF4E7" w14:textId="77777777" w:rsidR="00CC7EB4" w:rsidRPr="006B2B3F" w:rsidRDefault="00CC7EB4" w:rsidP="00CC7EB4">
      <w:pPr>
        <w:pStyle w:val="FootnoteText"/>
        <w:rPr>
          <w:rFonts w:ascii="Arial" w:hAnsi="Arial" w:cs="Arial"/>
          <w:lang w:val="en-US"/>
        </w:rPr>
      </w:pPr>
      <w:r w:rsidRPr="006B2B3F">
        <w:rPr>
          <w:rStyle w:val="FootnoteReference"/>
          <w:rFonts w:ascii="Arial" w:hAnsi="Arial" w:cs="Arial"/>
        </w:rPr>
        <w:footnoteRef/>
      </w:r>
      <w:r w:rsidRPr="006B2B3F">
        <w:rPr>
          <w:rFonts w:ascii="Arial" w:hAnsi="Arial" w:cs="Arial"/>
        </w:rPr>
        <w:t xml:space="preserve"> </w:t>
      </w:r>
      <w:r>
        <w:rPr>
          <w:rFonts w:ascii="Arial" w:hAnsi="Arial" w:cs="Arial"/>
          <w:lang w:val="en-US"/>
        </w:rPr>
        <w:t xml:space="preserve">A reference to </w:t>
      </w:r>
      <w:r w:rsidRPr="006B2B3F">
        <w:rPr>
          <w:rFonts w:ascii="Arial" w:hAnsi="Arial" w:cs="Arial"/>
          <w:lang w:val="en-US"/>
        </w:rPr>
        <w:t>Adam Smith.</w:t>
      </w:r>
    </w:p>
  </w:footnote>
  <w:footnote w:id="50">
    <w:p w14:paraId="025C3F0D" w14:textId="77777777" w:rsidR="00CC7EB4" w:rsidRPr="00B00174" w:rsidRDefault="00CC7EB4" w:rsidP="00CC7EB4">
      <w:pPr>
        <w:pStyle w:val="FootnoteText"/>
        <w:rPr>
          <w:rFonts w:ascii="Arial" w:hAnsi="Arial" w:cs="Arial"/>
          <w:lang w:val="en-US"/>
        </w:rPr>
      </w:pPr>
      <w:r w:rsidRPr="006B2B3F">
        <w:rPr>
          <w:rStyle w:val="FootnoteReference"/>
          <w:rFonts w:ascii="Arial" w:hAnsi="Arial" w:cs="Arial"/>
        </w:rPr>
        <w:footnoteRef/>
      </w:r>
      <w:r w:rsidRPr="006B2B3F">
        <w:rPr>
          <w:rFonts w:ascii="Arial" w:hAnsi="Arial" w:cs="Arial"/>
        </w:rPr>
        <w:t xml:space="preserve"> </w:t>
      </w:r>
      <w:r>
        <w:rPr>
          <w:rFonts w:ascii="Arial" w:hAnsi="Arial" w:cs="Arial"/>
        </w:rPr>
        <w:t xml:space="preserve">Stelios Tofaris “Incorporation and Exemption Clauses in Consumer Contracts: </w:t>
      </w:r>
      <w:r w:rsidRPr="00B51AEA">
        <w:rPr>
          <w:rFonts w:ascii="Arial" w:hAnsi="Arial" w:cs="Arial"/>
        </w:rPr>
        <w:t xml:space="preserve">Parker v South Eastern Railway Company” </w:t>
      </w:r>
      <w:r>
        <w:rPr>
          <w:rFonts w:ascii="Arial" w:hAnsi="Arial" w:cs="Arial"/>
        </w:rPr>
        <w:t xml:space="preserve">in Jodi Gardner and Iain Ramsay (eds) </w:t>
      </w:r>
      <w:r>
        <w:rPr>
          <w:rFonts w:ascii="Arial" w:hAnsi="Arial" w:cs="Arial"/>
          <w:i/>
          <w:iCs/>
        </w:rPr>
        <w:t xml:space="preserve">Landmark Cases in Consumer Law </w:t>
      </w:r>
      <w:r>
        <w:rPr>
          <w:rFonts w:ascii="Arial" w:hAnsi="Arial" w:cs="Arial"/>
        </w:rPr>
        <w:t>(Hart Publishing, Oxford, 2024) 55 at 57.</w:t>
      </w:r>
    </w:p>
  </w:footnote>
  <w:footnote w:id="51">
    <w:p w14:paraId="27EB963D" w14:textId="77777777" w:rsidR="00CC7EB4" w:rsidRPr="009A50A8" w:rsidRDefault="00CC7EB4" w:rsidP="00CC7EB4">
      <w:pPr>
        <w:pStyle w:val="FootnoteText"/>
        <w:rPr>
          <w:rFonts w:ascii="Arial" w:hAnsi="Arial" w:cs="Arial"/>
          <w:lang w:val="en-US"/>
        </w:rPr>
      </w:pPr>
      <w:r w:rsidRPr="006B2B3F">
        <w:rPr>
          <w:rStyle w:val="FootnoteReference"/>
          <w:rFonts w:ascii="Arial" w:hAnsi="Arial" w:cs="Arial"/>
        </w:rPr>
        <w:footnoteRef/>
      </w:r>
      <w:r w:rsidRPr="006B2B3F">
        <w:rPr>
          <w:rFonts w:ascii="Arial" w:hAnsi="Arial" w:cs="Arial"/>
        </w:rPr>
        <w:t xml:space="preserve"> </w:t>
      </w:r>
      <w:r w:rsidRPr="006B2B3F">
        <w:rPr>
          <w:rFonts w:ascii="Arial" w:hAnsi="Arial" w:cs="Arial"/>
          <w:lang w:val="en-US"/>
        </w:rPr>
        <w:t xml:space="preserve">Thorstein Veblen </w:t>
      </w:r>
      <w:r>
        <w:rPr>
          <w:rFonts w:ascii="Arial" w:hAnsi="Arial" w:cs="Arial"/>
          <w:i/>
          <w:iCs/>
          <w:lang w:val="en-US"/>
        </w:rPr>
        <w:t xml:space="preserve">The Theory of the Leisure Class: An Economic Study of Institutions </w:t>
      </w:r>
      <w:r>
        <w:rPr>
          <w:rFonts w:ascii="Arial" w:hAnsi="Arial" w:cs="Arial"/>
          <w:lang w:val="en-US"/>
        </w:rPr>
        <w:t>(United States, 1899).</w:t>
      </w:r>
    </w:p>
  </w:footnote>
  <w:footnote w:id="52">
    <w:p w14:paraId="13EF64B4" w14:textId="77777777" w:rsidR="00CC7EB4" w:rsidRPr="001717AD" w:rsidRDefault="00CC7EB4" w:rsidP="00CC7EB4">
      <w:pPr>
        <w:pStyle w:val="FootnoteText"/>
        <w:rPr>
          <w:rFonts w:ascii="Arial" w:hAnsi="Arial" w:cs="Arial"/>
          <w:lang w:val="en-US"/>
        </w:rPr>
      </w:pPr>
      <w:r w:rsidRPr="006B2B3F">
        <w:rPr>
          <w:rStyle w:val="FootnoteReference"/>
          <w:rFonts w:ascii="Arial" w:hAnsi="Arial" w:cs="Arial"/>
        </w:rPr>
        <w:footnoteRef/>
      </w:r>
      <w:r w:rsidRPr="006B2B3F">
        <w:rPr>
          <w:rFonts w:ascii="Arial" w:hAnsi="Arial" w:cs="Arial"/>
        </w:rPr>
        <w:t xml:space="preserve"> </w:t>
      </w:r>
      <w:r w:rsidRPr="006B2B3F">
        <w:rPr>
          <w:rFonts w:ascii="Arial" w:hAnsi="Arial" w:cs="Arial"/>
          <w:i/>
          <w:iCs/>
        </w:rPr>
        <w:t xml:space="preserve">Printing and Numerical Registering Co v Samson </w:t>
      </w:r>
      <w:r w:rsidRPr="006B2B3F">
        <w:rPr>
          <w:rFonts w:ascii="Arial" w:hAnsi="Arial" w:cs="Arial"/>
        </w:rPr>
        <w:t>(1875) Eq 462.</w:t>
      </w:r>
    </w:p>
  </w:footnote>
  <w:footnote w:id="53">
    <w:p w14:paraId="61F6FCE5" w14:textId="77777777" w:rsidR="00CC7EB4" w:rsidRPr="00F80256" w:rsidRDefault="00CC7EB4" w:rsidP="00CC7EB4">
      <w:pPr>
        <w:pStyle w:val="FootnoteText"/>
        <w:rPr>
          <w:rFonts w:ascii="Arial" w:hAnsi="Arial" w:cs="Arial"/>
          <w:lang w:val="en-US"/>
        </w:rPr>
      </w:pPr>
      <w:r w:rsidRPr="00F80256">
        <w:rPr>
          <w:rStyle w:val="FootnoteReference"/>
          <w:rFonts w:ascii="Arial" w:hAnsi="Arial" w:cs="Arial"/>
        </w:rPr>
        <w:footnoteRef/>
      </w:r>
      <w:r w:rsidRPr="00F80256">
        <w:rPr>
          <w:rFonts w:ascii="Arial" w:hAnsi="Arial" w:cs="Arial"/>
        </w:rPr>
        <w:t xml:space="preserve"> </w:t>
      </w:r>
      <w:r w:rsidRPr="00F80256">
        <w:rPr>
          <w:rFonts w:ascii="Arial" w:hAnsi="Arial" w:cs="Arial"/>
          <w:lang w:val="en-US"/>
        </w:rPr>
        <w:t>Yes, it is a coincidence that Denning features in all of these cases.</w:t>
      </w:r>
    </w:p>
  </w:footnote>
  <w:footnote w:id="54">
    <w:p w14:paraId="5B50BD2C" w14:textId="77777777" w:rsidR="00CC7EB4" w:rsidRPr="00F80256" w:rsidRDefault="00CC7EB4" w:rsidP="00CC7EB4">
      <w:pPr>
        <w:pStyle w:val="FootnoteText"/>
        <w:rPr>
          <w:rFonts w:ascii="Arial" w:hAnsi="Arial" w:cs="Arial"/>
          <w:lang w:val="en-US"/>
        </w:rPr>
      </w:pPr>
      <w:r w:rsidRPr="00F80256">
        <w:rPr>
          <w:rStyle w:val="FootnoteReference"/>
          <w:rFonts w:ascii="Arial" w:hAnsi="Arial" w:cs="Arial"/>
        </w:rPr>
        <w:footnoteRef/>
      </w:r>
      <w:r w:rsidRPr="00F80256">
        <w:rPr>
          <w:rFonts w:ascii="Arial" w:hAnsi="Arial" w:cs="Arial"/>
        </w:rPr>
        <w:t xml:space="preserve"> </w:t>
      </w:r>
      <w:r w:rsidRPr="00F80256">
        <w:rPr>
          <w:rFonts w:ascii="Arial" w:hAnsi="Arial" w:cs="Arial"/>
          <w:i/>
          <w:iCs/>
        </w:rPr>
        <w:t xml:space="preserve">Thompson v London, Midland and Scottish Railway Company </w:t>
      </w:r>
      <w:r w:rsidRPr="00F80256">
        <w:rPr>
          <w:rFonts w:ascii="Arial" w:hAnsi="Arial" w:cs="Arial"/>
        </w:rPr>
        <w:t>[1930] 1 KB 41.</w:t>
      </w:r>
    </w:p>
  </w:footnote>
  <w:footnote w:id="55">
    <w:p w14:paraId="437634F9" w14:textId="77777777" w:rsidR="00CC7EB4" w:rsidRPr="00F80256" w:rsidRDefault="00CC7EB4" w:rsidP="00CC7EB4">
      <w:pPr>
        <w:pStyle w:val="FootnoteText"/>
        <w:rPr>
          <w:rFonts w:ascii="Arial" w:hAnsi="Arial" w:cs="Arial"/>
          <w:lang w:val="en-US"/>
        </w:rPr>
      </w:pPr>
      <w:r w:rsidRPr="00F80256">
        <w:rPr>
          <w:rStyle w:val="FootnoteReference"/>
          <w:rFonts w:ascii="Arial" w:hAnsi="Arial" w:cs="Arial"/>
        </w:rPr>
        <w:footnoteRef/>
      </w:r>
      <w:r w:rsidRPr="00F80256">
        <w:rPr>
          <w:rFonts w:ascii="Arial" w:hAnsi="Arial" w:cs="Arial"/>
        </w:rPr>
        <w:t xml:space="preserve"> </w:t>
      </w:r>
      <w:r>
        <w:rPr>
          <w:rFonts w:ascii="Arial" w:hAnsi="Arial" w:cs="Arial"/>
        </w:rPr>
        <w:t>At 477.</w:t>
      </w:r>
    </w:p>
  </w:footnote>
  <w:footnote w:id="56">
    <w:p w14:paraId="28DB1531" w14:textId="77777777" w:rsidR="00CC7EB4" w:rsidRPr="00F80256" w:rsidRDefault="00CC7EB4" w:rsidP="00CC7EB4">
      <w:pPr>
        <w:pStyle w:val="FootnoteText"/>
        <w:rPr>
          <w:rFonts w:ascii="Arial" w:hAnsi="Arial" w:cs="Arial"/>
          <w:lang w:val="en-US"/>
        </w:rPr>
      </w:pPr>
      <w:r w:rsidRPr="00F80256">
        <w:rPr>
          <w:rStyle w:val="FootnoteReference"/>
          <w:rFonts w:ascii="Arial" w:hAnsi="Arial" w:cs="Arial"/>
        </w:rPr>
        <w:footnoteRef/>
      </w:r>
      <w:r w:rsidRPr="00F80256">
        <w:rPr>
          <w:rFonts w:ascii="Arial" w:hAnsi="Arial" w:cs="Arial"/>
        </w:rPr>
        <w:t xml:space="preserve"> </w:t>
      </w:r>
      <w:r>
        <w:rPr>
          <w:rFonts w:ascii="Arial" w:hAnsi="Arial" w:cs="Arial"/>
        </w:rPr>
        <w:t>At 479.</w:t>
      </w:r>
    </w:p>
  </w:footnote>
  <w:footnote w:id="57">
    <w:p w14:paraId="77C8BF61" w14:textId="77777777" w:rsidR="00CC7EB4" w:rsidRPr="00F80256" w:rsidRDefault="00CC7EB4" w:rsidP="00CC7EB4">
      <w:pPr>
        <w:pStyle w:val="FootnoteText"/>
        <w:rPr>
          <w:rFonts w:ascii="Arial" w:hAnsi="Arial" w:cs="Arial"/>
          <w:lang w:val="en-US"/>
        </w:rPr>
      </w:pPr>
      <w:r w:rsidRPr="00F80256">
        <w:rPr>
          <w:rStyle w:val="FootnoteReference"/>
          <w:rFonts w:ascii="Arial" w:hAnsi="Arial" w:cs="Arial"/>
        </w:rPr>
        <w:footnoteRef/>
      </w:r>
      <w:r w:rsidRPr="00F80256">
        <w:rPr>
          <w:rFonts w:ascii="Arial" w:hAnsi="Arial" w:cs="Arial"/>
        </w:rPr>
        <w:t xml:space="preserve"> </w:t>
      </w:r>
      <w:r w:rsidRPr="00F80256">
        <w:rPr>
          <w:rFonts w:ascii="Arial" w:hAnsi="Arial" w:cs="Arial"/>
          <w:lang w:val="en-US"/>
        </w:rPr>
        <w:t>At 482.</w:t>
      </w:r>
    </w:p>
  </w:footnote>
  <w:footnote w:id="58">
    <w:p w14:paraId="6B62F07C" w14:textId="77777777" w:rsidR="00CC7EB4" w:rsidRPr="00F80256" w:rsidRDefault="00CC7EB4" w:rsidP="00CC7EB4">
      <w:pPr>
        <w:pStyle w:val="FootnoteText"/>
        <w:rPr>
          <w:rFonts w:ascii="Arial" w:hAnsi="Arial" w:cs="Arial"/>
          <w:lang w:val="en-US"/>
        </w:rPr>
      </w:pPr>
      <w:r w:rsidRPr="00F80256">
        <w:rPr>
          <w:rStyle w:val="FootnoteReference"/>
          <w:rFonts w:ascii="Arial" w:hAnsi="Arial" w:cs="Arial"/>
        </w:rPr>
        <w:footnoteRef/>
      </w:r>
      <w:r w:rsidRPr="00F80256">
        <w:rPr>
          <w:rFonts w:ascii="Arial" w:hAnsi="Arial" w:cs="Arial"/>
        </w:rPr>
        <w:t xml:space="preserve"> </w:t>
      </w:r>
      <w:r w:rsidRPr="00F80256">
        <w:rPr>
          <w:rFonts w:ascii="Arial" w:hAnsi="Arial" w:cs="Arial"/>
          <w:lang w:val="en-US"/>
        </w:rPr>
        <w:t>At 482.</w:t>
      </w:r>
    </w:p>
  </w:footnote>
  <w:footnote w:id="59">
    <w:p w14:paraId="4DB0B5D0" w14:textId="77777777" w:rsidR="00CC7EB4" w:rsidRPr="00F80256" w:rsidRDefault="00CC7EB4" w:rsidP="00CC7EB4">
      <w:pPr>
        <w:pStyle w:val="FootnoteText"/>
        <w:rPr>
          <w:rFonts w:ascii="Arial" w:hAnsi="Arial" w:cs="Arial"/>
          <w:lang w:val="en-US"/>
        </w:rPr>
      </w:pPr>
      <w:r w:rsidRPr="00F80256">
        <w:rPr>
          <w:rStyle w:val="FootnoteReference"/>
          <w:rFonts w:ascii="Arial" w:hAnsi="Arial" w:cs="Arial"/>
        </w:rPr>
        <w:footnoteRef/>
      </w:r>
      <w:r w:rsidRPr="00F80256">
        <w:rPr>
          <w:rFonts w:ascii="Arial" w:hAnsi="Arial" w:cs="Arial"/>
        </w:rPr>
        <w:t xml:space="preserve"> </w:t>
      </w:r>
      <w:r w:rsidRPr="00F80256">
        <w:rPr>
          <w:rFonts w:ascii="Arial" w:hAnsi="Arial" w:cs="Arial"/>
          <w:i/>
          <w:iCs/>
        </w:rPr>
        <w:t xml:space="preserve">L’Estrange v F Graucob Ltd </w:t>
      </w:r>
      <w:r w:rsidRPr="00F80256">
        <w:rPr>
          <w:rFonts w:ascii="Arial" w:hAnsi="Arial" w:cs="Arial"/>
        </w:rPr>
        <w:t>[1934] 2 KB 394.</w:t>
      </w:r>
    </w:p>
  </w:footnote>
  <w:footnote w:id="60">
    <w:p w14:paraId="0F3BD4A4" w14:textId="77777777" w:rsidR="00CC7EB4" w:rsidRPr="001717AD" w:rsidRDefault="00CC7EB4" w:rsidP="00CC7EB4">
      <w:pPr>
        <w:pStyle w:val="FootnoteText"/>
        <w:rPr>
          <w:rFonts w:ascii="Arial" w:hAnsi="Arial" w:cs="Arial"/>
          <w:lang w:val="en-US"/>
        </w:rPr>
      </w:pPr>
      <w:r w:rsidRPr="00F80256">
        <w:rPr>
          <w:rStyle w:val="FootnoteReference"/>
          <w:rFonts w:ascii="Arial" w:hAnsi="Arial" w:cs="Arial"/>
        </w:rPr>
        <w:footnoteRef/>
      </w:r>
      <w:r w:rsidRPr="001717AD">
        <w:rPr>
          <w:rFonts w:ascii="Arial" w:hAnsi="Arial" w:cs="Arial"/>
        </w:rPr>
        <w:t xml:space="preserve"> </w:t>
      </w:r>
      <w:r>
        <w:rPr>
          <w:rFonts w:ascii="Arial" w:hAnsi="Arial" w:cs="Arial"/>
        </w:rPr>
        <w:t>At 17.</w:t>
      </w:r>
    </w:p>
  </w:footnote>
  <w:footnote w:id="61">
    <w:p w14:paraId="05595686" w14:textId="77777777" w:rsidR="00CC7EB4" w:rsidRPr="0046439F" w:rsidRDefault="00CC7EB4" w:rsidP="00CC7EB4">
      <w:pPr>
        <w:pStyle w:val="FootnoteText"/>
        <w:rPr>
          <w:rFonts w:ascii="Arial" w:hAnsi="Arial" w:cs="Arial"/>
          <w:lang w:val="en-US"/>
        </w:rPr>
      </w:pPr>
      <w:r w:rsidRPr="0046439F">
        <w:rPr>
          <w:rStyle w:val="FootnoteReference"/>
          <w:rFonts w:ascii="Arial" w:hAnsi="Arial" w:cs="Arial"/>
        </w:rPr>
        <w:footnoteRef/>
      </w:r>
      <w:r w:rsidRPr="0046439F">
        <w:rPr>
          <w:rFonts w:ascii="Arial" w:hAnsi="Arial" w:cs="Arial"/>
        </w:rPr>
        <w:t xml:space="preserve"> </w:t>
      </w:r>
      <w:r>
        <w:rPr>
          <w:rFonts w:ascii="Arial" w:hAnsi="Arial" w:cs="Arial"/>
        </w:rPr>
        <w:t>At 19 and 20.</w:t>
      </w:r>
    </w:p>
  </w:footnote>
  <w:footnote w:id="62">
    <w:p w14:paraId="4F58F5F8" w14:textId="77777777" w:rsidR="00CC7EB4" w:rsidRPr="0046439F" w:rsidRDefault="00CC7EB4" w:rsidP="00CC7EB4">
      <w:pPr>
        <w:pStyle w:val="FootnoteText"/>
        <w:rPr>
          <w:rFonts w:ascii="Arial" w:hAnsi="Arial" w:cs="Arial"/>
          <w:lang w:val="en-US"/>
        </w:rPr>
      </w:pPr>
      <w:r w:rsidRPr="0046439F">
        <w:rPr>
          <w:rStyle w:val="FootnoteReference"/>
          <w:rFonts w:ascii="Arial" w:hAnsi="Arial" w:cs="Arial"/>
        </w:rPr>
        <w:footnoteRef/>
      </w:r>
      <w:r w:rsidRPr="0046439F">
        <w:rPr>
          <w:rFonts w:ascii="Arial" w:hAnsi="Arial" w:cs="Arial"/>
        </w:rPr>
        <w:t xml:space="preserve"> </w:t>
      </w:r>
      <w:r w:rsidRPr="0046439F">
        <w:rPr>
          <w:rFonts w:ascii="Arial" w:hAnsi="Arial" w:cs="Arial"/>
          <w:i/>
          <w:iCs/>
        </w:rPr>
        <w:t xml:space="preserve">J Spurling Ltd v Bradshaw </w:t>
      </w:r>
      <w:r w:rsidRPr="0046439F">
        <w:rPr>
          <w:rFonts w:ascii="Arial" w:hAnsi="Arial" w:cs="Arial"/>
        </w:rPr>
        <w:t>[1956] EWCA Civ 3.</w:t>
      </w:r>
    </w:p>
  </w:footnote>
  <w:footnote w:id="63">
    <w:p w14:paraId="22E11A24" w14:textId="77777777" w:rsidR="00CC7EB4" w:rsidRPr="0046439F" w:rsidRDefault="00CC7EB4" w:rsidP="00CC7EB4">
      <w:pPr>
        <w:pStyle w:val="FootnoteText"/>
        <w:rPr>
          <w:rFonts w:ascii="Arial" w:hAnsi="Arial" w:cs="Arial"/>
          <w:lang w:val="en-US"/>
        </w:rPr>
      </w:pPr>
      <w:r w:rsidRPr="0046439F">
        <w:rPr>
          <w:rStyle w:val="FootnoteReference"/>
          <w:rFonts w:ascii="Arial" w:hAnsi="Arial" w:cs="Arial"/>
        </w:rPr>
        <w:footnoteRef/>
      </w:r>
      <w:r w:rsidRPr="0046439F">
        <w:rPr>
          <w:rFonts w:ascii="Arial" w:hAnsi="Arial" w:cs="Arial"/>
        </w:rPr>
        <w:t xml:space="preserve"> </w:t>
      </w:r>
      <w:r>
        <w:rPr>
          <w:rFonts w:ascii="Arial" w:hAnsi="Arial" w:cs="Arial"/>
        </w:rPr>
        <w:t>Gluck, above n 48, at 76.</w:t>
      </w:r>
    </w:p>
  </w:footnote>
  <w:footnote w:id="64">
    <w:p w14:paraId="30B491E6" w14:textId="77777777" w:rsidR="00CC7EB4" w:rsidRPr="0046439F" w:rsidRDefault="00CC7EB4" w:rsidP="00CC7EB4">
      <w:pPr>
        <w:pStyle w:val="FootnoteText"/>
        <w:rPr>
          <w:rFonts w:ascii="Arial" w:hAnsi="Arial" w:cs="Arial"/>
          <w:lang w:val="en-US"/>
        </w:rPr>
      </w:pPr>
      <w:r w:rsidRPr="0046439F">
        <w:rPr>
          <w:rStyle w:val="FootnoteReference"/>
          <w:rFonts w:ascii="Arial" w:hAnsi="Arial" w:cs="Arial"/>
        </w:rPr>
        <w:footnoteRef/>
      </w:r>
      <w:r w:rsidRPr="0046439F">
        <w:rPr>
          <w:rFonts w:ascii="Arial" w:hAnsi="Arial" w:cs="Arial"/>
        </w:rPr>
        <w:t xml:space="preserve"> </w:t>
      </w:r>
      <w:r>
        <w:rPr>
          <w:rFonts w:ascii="Arial" w:hAnsi="Arial" w:cs="Arial"/>
        </w:rPr>
        <w:t>At 77.</w:t>
      </w:r>
    </w:p>
  </w:footnote>
  <w:footnote w:id="65">
    <w:p w14:paraId="1A4DEE96" w14:textId="77777777" w:rsidR="00CC7EB4" w:rsidRPr="005B7D8E" w:rsidRDefault="00CC7EB4" w:rsidP="00CC7EB4">
      <w:pPr>
        <w:pStyle w:val="FootnoteText"/>
        <w:rPr>
          <w:rFonts w:ascii="Arial" w:hAnsi="Arial" w:cs="Arial"/>
        </w:rPr>
      </w:pPr>
      <w:r w:rsidRPr="0046439F">
        <w:rPr>
          <w:rStyle w:val="FootnoteReference"/>
          <w:rFonts w:ascii="Arial" w:hAnsi="Arial" w:cs="Arial"/>
        </w:rPr>
        <w:footnoteRef/>
      </w:r>
      <w:r w:rsidRPr="0046439F">
        <w:rPr>
          <w:rFonts w:ascii="Arial" w:hAnsi="Arial" w:cs="Arial"/>
        </w:rPr>
        <w:t xml:space="preserve"> </w:t>
      </w:r>
      <w:r>
        <w:rPr>
          <w:rFonts w:ascii="Arial" w:hAnsi="Arial" w:cs="Arial"/>
          <w:i/>
          <w:iCs/>
        </w:rPr>
        <w:t xml:space="preserve">Karsales (Harrow) Ltd v Wallis </w:t>
      </w:r>
      <w:r>
        <w:rPr>
          <w:rFonts w:ascii="Arial" w:hAnsi="Arial" w:cs="Arial"/>
        </w:rPr>
        <w:t>[1956] 2 All ER 866 at 868.</w:t>
      </w:r>
    </w:p>
  </w:footnote>
  <w:footnote w:id="66">
    <w:p w14:paraId="3AC6B5A7" w14:textId="77777777" w:rsidR="00CC7EB4" w:rsidRPr="0046439F" w:rsidRDefault="00CC7EB4" w:rsidP="00CC7EB4">
      <w:pPr>
        <w:pStyle w:val="FootnoteText"/>
        <w:rPr>
          <w:rFonts w:ascii="Arial" w:hAnsi="Arial" w:cs="Arial"/>
          <w:lang w:val="en-US"/>
        </w:rPr>
      </w:pPr>
      <w:r w:rsidRPr="0046439F">
        <w:rPr>
          <w:rStyle w:val="FootnoteReference"/>
          <w:rFonts w:ascii="Arial" w:hAnsi="Arial" w:cs="Arial"/>
        </w:rPr>
        <w:footnoteRef/>
      </w:r>
      <w:r w:rsidRPr="0046439F">
        <w:rPr>
          <w:rFonts w:ascii="Arial" w:hAnsi="Arial" w:cs="Arial"/>
        </w:rPr>
        <w:t xml:space="preserve"> </w:t>
      </w:r>
      <w:r>
        <w:rPr>
          <w:rFonts w:ascii="Arial" w:hAnsi="Arial" w:cs="Arial"/>
        </w:rPr>
        <w:t>At 871.</w:t>
      </w:r>
    </w:p>
  </w:footnote>
  <w:footnote w:id="67">
    <w:p w14:paraId="7433943E" w14:textId="77777777" w:rsidR="00CC7EB4" w:rsidRPr="0046439F" w:rsidRDefault="00CC7EB4" w:rsidP="00CC7EB4">
      <w:pPr>
        <w:pStyle w:val="FootnoteText"/>
        <w:rPr>
          <w:rFonts w:ascii="Arial" w:hAnsi="Arial" w:cs="Arial"/>
          <w:lang w:val="en-US"/>
        </w:rPr>
      </w:pPr>
      <w:r w:rsidRPr="0046439F">
        <w:rPr>
          <w:rStyle w:val="FootnoteReference"/>
          <w:rFonts w:ascii="Arial" w:hAnsi="Arial" w:cs="Arial"/>
        </w:rPr>
        <w:footnoteRef/>
      </w:r>
      <w:r w:rsidRPr="0046439F">
        <w:rPr>
          <w:rFonts w:ascii="Arial" w:hAnsi="Arial" w:cs="Arial"/>
        </w:rPr>
        <w:t xml:space="preserve"> </w:t>
      </w:r>
      <w:r w:rsidRPr="0046439F">
        <w:rPr>
          <w:rFonts w:ascii="Arial" w:hAnsi="Arial" w:cs="Arial"/>
          <w:i/>
          <w:iCs/>
        </w:rPr>
        <w:t xml:space="preserve">George Mitchell (Chesterhall) v Finney Lock Seeds </w:t>
      </w:r>
      <w:r w:rsidRPr="0046439F">
        <w:rPr>
          <w:rFonts w:ascii="Arial" w:hAnsi="Arial" w:cs="Arial"/>
        </w:rPr>
        <w:t>[1983] QB 284 at 116 and 119.</w:t>
      </w:r>
    </w:p>
  </w:footnote>
  <w:footnote w:id="68">
    <w:p w14:paraId="79CB00C9" w14:textId="77777777" w:rsidR="00CC7EB4" w:rsidRPr="003E78FD" w:rsidRDefault="00CC7EB4" w:rsidP="00CC7EB4">
      <w:pPr>
        <w:pStyle w:val="FootnoteText"/>
        <w:rPr>
          <w:lang w:val="en-US"/>
        </w:rPr>
      </w:pPr>
      <w:r w:rsidRPr="0046439F">
        <w:rPr>
          <w:rStyle w:val="FootnoteReference"/>
          <w:rFonts w:ascii="Arial" w:hAnsi="Arial" w:cs="Arial"/>
        </w:rPr>
        <w:footnoteRef/>
      </w:r>
      <w:r w:rsidRPr="0046439F">
        <w:rPr>
          <w:rFonts w:ascii="Arial" w:hAnsi="Arial" w:cs="Arial"/>
        </w:rPr>
        <w:t xml:space="preserve"> </w:t>
      </w:r>
      <w:r w:rsidRPr="0046439F">
        <w:rPr>
          <w:rFonts w:ascii="Arial" w:hAnsi="Arial" w:cs="Arial"/>
          <w:i/>
          <w:iCs/>
        </w:rPr>
        <w:t>George Mitchell</w:t>
      </w:r>
      <w:r>
        <w:rPr>
          <w:rFonts w:ascii="Arial" w:hAnsi="Arial" w:cs="Arial"/>
          <w:i/>
          <w:iCs/>
        </w:rPr>
        <w:t xml:space="preserve">, </w:t>
      </w:r>
      <w:r>
        <w:rPr>
          <w:rFonts w:ascii="Arial" w:hAnsi="Arial" w:cs="Arial"/>
        </w:rPr>
        <w:t>above n 67.</w:t>
      </w:r>
    </w:p>
  </w:footnote>
  <w:footnote w:id="69">
    <w:p w14:paraId="7BEA1F5E" w14:textId="77777777" w:rsidR="00CC7EB4" w:rsidRPr="00166385" w:rsidRDefault="00CC7EB4" w:rsidP="00CC7EB4">
      <w:pPr>
        <w:pStyle w:val="FootnoteText"/>
        <w:rPr>
          <w:rFonts w:ascii="Arial" w:hAnsi="Arial" w:cs="Arial"/>
          <w:lang w:val="en-US"/>
        </w:rPr>
      </w:pPr>
      <w:r w:rsidRPr="00166385">
        <w:rPr>
          <w:rStyle w:val="FootnoteReference"/>
          <w:rFonts w:ascii="Arial" w:hAnsi="Arial" w:cs="Arial"/>
        </w:rPr>
        <w:footnoteRef/>
      </w:r>
      <w:r w:rsidRPr="00166385">
        <w:rPr>
          <w:rFonts w:ascii="Arial" w:hAnsi="Arial" w:cs="Arial"/>
        </w:rPr>
        <w:t xml:space="preserve"> </w:t>
      </w:r>
      <w:r>
        <w:rPr>
          <w:rFonts w:ascii="Arial" w:hAnsi="Arial" w:cs="Arial"/>
        </w:rPr>
        <w:t>At 113.</w:t>
      </w:r>
    </w:p>
  </w:footnote>
  <w:footnote w:id="70">
    <w:p w14:paraId="5FC25F32" w14:textId="77777777" w:rsidR="00CC7EB4" w:rsidRPr="00166385" w:rsidRDefault="00CC7EB4" w:rsidP="00CC7EB4">
      <w:pPr>
        <w:pStyle w:val="FootnoteText"/>
        <w:rPr>
          <w:rFonts w:ascii="Arial" w:hAnsi="Arial" w:cs="Arial"/>
          <w:lang w:val="en-US"/>
        </w:rPr>
      </w:pPr>
      <w:r w:rsidRPr="00166385">
        <w:rPr>
          <w:rStyle w:val="FootnoteReference"/>
          <w:rFonts w:ascii="Arial" w:hAnsi="Arial" w:cs="Arial"/>
        </w:rPr>
        <w:footnoteRef/>
      </w:r>
      <w:r w:rsidRPr="00166385">
        <w:rPr>
          <w:rFonts w:ascii="Arial" w:hAnsi="Arial" w:cs="Arial"/>
        </w:rPr>
        <w:t xml:space="preserve"> </w:t>
      </w:r>
      <w:r>
        <w:rPr>
          <w:rFonts w:ascii="Arial" w:hAnsi="Arial" w:cs="Arial"/>
        </w:rPr>
        <w:t>At 115.</w:t>
      </w:r>
    </w:p>
  </w:footnote>
  <w:footnote w:id="71">
    <w:p w14:paraId="3ECAD95B" w14:textId="77777777" w:rsidR="00CC7EB4" w:rsidRPr="00166385" w:rsidRDefault="00CC7EB4" w:rsidP="00CC7EB4">
      <w:pPr>
        <w:pStyle w:val="FootnoteText"/>
        <w:rPr>
          <w:rFonts w:ascii="Arial" w:hAnsi="Arial" w:cs="Arial"/>
          <w:lang w:val="en-US"/>
        </w:rPr>
      </w:pPr>
      <w:r w:rsidRPr="00166385">
        <w:rPr>
          <w:rStyle w:val="FootnoteReference"/>
          <w:rFonts w:ascii="Arial" w:hAnsi="Arial" w:cs="Arial"/>
        </w:rPr>
        <w:footnoteRef/>
      </w:r>
      <w:r w:rsidRPr="00166385">
        <w:rPr>
          <w:rFonts w:ascii="Arial" w:hAnsi="Arial" w:cs="Arial"/>
        </w:rPr>
        <w:t xml:space="preserve"> </w:t>
      </w:r>
      <w:r>
        <w:rPr>
          <w:rFonts w:ascii="Arial" w:hAnsi="Arial" w:cs="Arial"/>
        </w:rPr>
        <w:t>At 109.</w:t>
      </w:r>
    </w:p>
  </w:footnote>
  <w:footnote w:id="72">
    <w:p w14:paraId="070149E2" w14:textId="77777777" w:rsidR="00CC7EB4" w:rsidRPr="00166385" w:rsidRDefault="00CC7EB4" w:rsidP="00CC7EB4">
      <w:pPr>
        <w:pStyle w:val="FootnoteText"/>
        <w:rPr>
          <w:rFonts w:ascii="Arial" w:hAnsi="Arial" w:cs="Arial"/>
          <w:lang w:val="en-US"/>
        </w:rPr>
      </w:pPr>
      <w:r w:rsidRPr="00166385">
        <w:rPr>
          <w:rStyle w:val="FootnoteReference"/>
          <w:rFonts w:ascii="Arial" w:hAnsi="Arial" w:cs="Arial"/>
        </w:rPr>
        <w:footnoteRef/>
      </w:r>
      <w:r w:rsidRPr="00166385">
        <w:rPr>
          <w:rFonts w:ascii="Arial" w:hAnsi="Arial" w:cs="Arial"/>
        </w:rPr>
        <w:t xml:space="preserve"> </w:t>
      </w:r>
      <w:r>
        <w:rPr>
          <w:rFonts w:ascii="Arial" w:hAnsi="Arial" w:cs="Arial"/>
        </w:rPr>
        <w:t>At 115.</w:t>
      </w:r>
    </w:p>
  </w:footnote>
  <w:footnote w:id="73">
    <w:p w14:paraId="577C2410" w14:textId="77777777" w:rsidR="00CC7EB4" w:rsidRPr="00166385" w:rsidRDefault="00CC7EB4" w:rsidP="00CC7EB4">
      <w:pPr>
        <w:pStyle w:val="FootnoteText"/>
        <w:rPr>
          <w:rFonts w:ascii="Arial" w:hAnsi="Arial" w:cs="Arial"/>
          <w:lang w:val="en-US"/>
        </w:rPr>
      </w:pPr>
      <w:r w:rsidRPr="00166385">
        <w:rPr>
          <w:rStyle w:val="FootnoteReference"/>
          <w:rFonts w:ascii="Arial" w:hAnsi="Arial" w:cs="Arial"/>
        </w:rPr>
        <w:footnoteRef/>
      </w:r>
      <w:r w:rsidRPr="00166385">
        <w:rPr>
          <w:rFonts w:ascii="Arial" w:hAnsi="Arial" w:cs="Arial"/>
        </w:rPr>
        <w:t xml:space="preserve"> </w:t>
      </w:r>
      <w:r>
        <w:rPr>
          <w:rFonts w:ascii="Arial" w:hAnsi="Arial" w:cs="Arial"/>
        </w:rPr>
        <w:t>At 115.</w:t>
      </w:r>
    </w:p>
  </w:footnote>
  <w:footnote w:id="74">
    <w:p w14:paraId="50806628" w14:textId="77777777" w:rsidR="00CC7EB4" w:rsidRPr="00166385" w:rsidRDefault="00CC7EB4" w:rsidP="00CC7EB4">
      <w:pPr>
        <w:pStyle w:val="FootnoteText"/>
        <w:rPr>
          <w:rFonts w:ascii="Arial" w:hAnsi="Arial" w:cs="Arial"/>
          <w:lang w:val="en-US"/>
        </w:rPr>
      </w:pPr>
      <w:r w:rsidRPr="00166385">
        <w:rPr>
          <w:rStyle w:val="FootnoteReference"/>
          <w:rFonts w:ascii="Arial" w:hAnsi="Arial" w:cs="Arial"/>
        </w:rPr>
        <w:footnoteRef/>
      </w:r>
      <w:r w:rsidRPr="00166385">
        <w:rPr>
          <w:rFonts w:ascii="Arial" w:hAnsi="Arial" w:cs="Arial"/>
        </w:rPr>
        <w:t xml:space="preserve"> </w:t>
      </w:r>
      <w:r>
        <w:rPr>
          <w:rFonts w:ascii="Arial" w:hAnsi="Arial" w:cs="Arial"/>
        </w:rPr>
        <w:t>Fair Trading Act 1986, ss 46H-M.</w:t>
      </w:r>
    </w:p>
  </w:footnote>
  <w:footnote w:id="75">
    <w:p w14:paraId="68DBFF65" w14:textId="77777777" w:rsidR="00CC7EB4" w:rsidRPr="00166385" w:rsidRDefault="00CC7EB4" w:rsidP="00CC7EB4">
      <w:pPr>
        <w:pStyle w:val="FootnoteText"/>
        <w:rPr>
          <w:rFonts w:ascii="Arial" w:hAnsi="Arial" w:cs="Arial"/>
          <w:lang w:val="en-US"/>
        </w:rPr>
      </w:pPr>
      <w:r w:rsidRPr="00166385">
        <w:rPr>
          <w:rStyle w:val="FootnoteReference"/>
          <w:rFonts w:ascii="Arial" w:hAnsi="Arial" w:cs="Arial"/>
        </w:rPr>
        <w:footnoteRef/>
      </w:r>
      <w:r w:rsidRPr="00166385">
        <w:rPr>
          <w:rFonts w:ascii="Arial" w:hAnsi="Arial" w:cs="Arial"/>
        </w:rPr>
        <w:t xml:space="preserve"> </w:t>
      </w:r>
      <w:r>
        <w:rPr>
          <w:rFonts w:ascii="Arial" w:hAnsi="Arial" w:cs="Arial"/>
        </w:rPr>
        <w:t>Bakos, Marotta-Wurgler and Trossen, above n 3.</w:t>
      </w:r>
    </w:p>
  </w:footnote>
  <w:footnote w:id="76">
    <w:p w14:paraId="5AE1B0FD" w14:textId="77777777" w:rsidR="00CC7EB4" w:rsidRPr="00166385" w:rsidRDefault="00CC7EB4" w:rsidP="00CC7EB4">
      <w:pPr>
        <w:pStyle w:val="FootnoteText"/>
        <w:rPr>
          <w:rFonts w:ascii="Arial" w:hAnsi="Arial" w:cs="Arial"/>
          <w:lang w:val="en-US"/>
        </w:rPr>
      </w:pPr>
      <w:r w:rsidRPr="00166385">
        <w:rPr>
          <w:rStyle w:val="FootnoteReference"/>
          <w:rFonts w:ascii="Arial" w:hAnsi="Arial" w:cs="Arial"/>
        </w:rPr>
        <w:footnoteRef/>
      </w:r>
      <w:r w:rsidRPr="00166385">
        <w:rPr>
          <w:rFonts w:ascii="Arial" w:hAnsi="Arial" w:cs="Arial"/>
        </w:rPr>
        <w:t xml:space="preserve"> </w:t>
      </w:r>
      <w:r>
        <w:rPr>
          <w:rFonts w:ascii="Arial" w:hAnsi="Arial" w:cs="Arial"/>
        </w:rPr>
        <w:t>Section 46I.</w:t>
      </w:r>
    </w:p>
  </w:footnote>
  <w:footnote w:id="77">
    <w:p w14:paraId="1F4FB7F3" w14:textId="77777777" w:rsidR="00CC7EB4" w:rsidRPr="00AA0A61" w:rsidRDefault="00CC7EB4" w:rsidP="00CC7EB4">
      <w:pPr>
        <w:pStyle w:val="FootnoteText"/>
        <w:rPr>
          <w:rFonts w:ascii="Arial" w:hAnsi="Arial" w:cs="Arial"/>
          <w:lang w:val="en-US"/>
        </w:rPr>
      </w:pPr>
      <w:r w:rsidRPr="00AA0A61">
        <w:rPr>
          <w:rStyle w:val="FootnoteReference"/>
          <w:rFonts w:ascii="Arial" w:hAnsi="Arial" w:cs="Arial"/>
        </w:rPr>
        <w:footnoteRef/>
      </w:r>
      <w:r w:rsidRPr="00AA0A61">
        <w:rPr>
          <w:rFonts w:ascii="Arial" w:hAnsi="Arial" w:cs="Arial"/>
        </w:rPr>
        <w:t xml:space="preserve"> Radin, above n </w:t>
      </w:r>
      <w:r>
        <w:rPr>
          <w:rFonts w:ascii="Arial" w:hAnsi="Arial" w:cs="Arial"/>
        </w:rPr>
        <w:t>22,</w:t>
      </w:r>
      <w:r w:rsidRPr="00AA0A61">
        <w:rPr>
          <w:rFonts w:ascii="Arial" w:hAnsi="Arial" w:cs="Arial"/>
        </w:rPr>
        <w:t xml:space="preserve"> at 124</w:t>
      </w:r>
      <w:r>
        <w:rPr>
          <w:rFonts w:ascii="Arial" w:hAnsi="Arial" w:cs="Arial"/>
        </w:rPr>
        <w:t>-</w:t>
      </w:r>
      <w:r w:rsidRPr="00AA0A61">
        <w:rPr>
          <w:rFonts w:ascii="Arial" w:hAnsi="Arial" w:cs="Arial"/>
        </w:rPr>
        <w:t>125.</w:t>
      </w:r>
    </w:p>
  </w:footnote>
  <w:footnote w:id="78">
    <w:p w14:paraId="5050972E" w14:textId="77777777" w:rsidR="00CC7EB4" w:rsidRPr="00AA0A61" w:rsidRDefault="00CC7EB4" w:rsidP="00CC7EB4">
      <w:pPr>
        <w:pStyle w:val="FootnoteText"/>
        <w:rPr>
          <w:rFonts w:ascii="Arial" w:hAnsi="Arial" w:cs="Arial"/>
          <w:lang w:val="en-US"/>
        </w:rPr>
      </w:pPr>
      <w:r w:rsidRPr="00AA0A61">
        <w:rPr>
          <w:rStyle w:val="FootnoteReference"/>
          <w:rFonts w:ascii="Arial" w:hAnsi="Arial" w:cs="Arial"/>
        </w:rPr>
        <w:footnoteRef/>
      </w:r>
      <w:r w:rsidRPr="00AA0A61">
        <w:rPr>
          <w:rFonts w:ascii="Arial" w:hAnsi="Arial" w:cs="Arial"/>
        </w:rPr>
        <w:t xml:space="preserve"> Anne Fleming “The Rise and Fall of Unconscionability as the ‘Law of the Poor’” (2014) 102 Geo. L.J. 1383 at 1385.</w:t>
      </w:r>
    </w:p>
  </w:footnote>
  <w:footnote w:id="79">
    <w:p w14:paraId="3EC49880" w14:textId="77777777" w:rsidR="00CC7EB4" w:rsidRPr="00AA0A61" w:rsidRDefault="00CC7EB4" w:rsidP="00CC7EB4">
      <w:pPr>
        <w:pStyle w:val="FootnoteText"/>
        <w:rPr>
          <w:rFonts w:ascii="Arial" w:hAnsi="Arial" w:cs="Arial"/>
          <w:lang w:val="en-US"/>
        </w:rPr>
      </w:pPr>
      <w:r w:rsidRPr="00AA0A61">
        <w:rPr>
          <w:rStyle w:val="FootnoteReference"/>
          <w:rFonts w:ascii="Arial" w:hAnsi="Arial" w:cs="Arial"/>
        </w:rPr>
        <w:footnoteRef/>
      </w:r>
      <w:r w:rsidRPr="00AA0A61">
        <w:rPr>
          <w:rFonts w:ascii="Arial" w:hAnsi="Arial" w:cs="Arial"/>
        </w:rPr>
        <w:t xml:space="preserve"> Ying Khai Liew and Debbie Yu “The Unconscionable Bargains Doctrine in England and Australia: Cousins or Siblings? (2021) 45 </w:t>
      </w:r>
      <w:r>
        <w:rPr>
          <w:rFonts w:ascii="Arial" w:hAnsi="Arial" w:cs="Arial"/>
        </w:rPr>
        <w:t>MULR at 208-209.</w:t>
      </w:r>
    </w:p>
  </w:footnote>
  <w:footnote w:id="80">
    <w:p w14:paraId="171B49B5" w14:textId="77777777" w:rsidR="00CC7EB4" w:rsidRPr="00AA0A61" w:rsidRDefault="00CC7EB4" w:rsidP="00CC7EB4">
      <w:pPr>
        <w:pStyle w:val="FootnoteText"/>
        <w:rPr>
          <w:rFonts w:ascii="Arial" w:hAnsi="Arial" w:cs="Arial"/>
          <w:lang w:val="en-US"/>
        </w:rPr>
      </w:pPr>
      <w:r w:rsidRPr="00AA0A61">
        <w:rPr>
          <w:rStyle w:val="FootnoteReference"/>
          <w:rFonts w:ascii="Arial" w:hAnsi="Arial" w:cs="Arial"/>
        </w:rPr>
        <w:footnoteRef/>
      </w:r>
      <w:r w:rsidRPr="00AA0A61">
        <w:rPr>
          <w:rFonts w:ascii="Arial" w:hAnsi="Arial" w:cs="Arial"/>
        </w:rPr>
        <w:t xml:space="preserve"> </w:t>
      </w:r>
      <w:r w:rsidRPr="00AA0A61">
        <w:rPr>
          <w:rFonts w:ascii="Arial" w:hAnsi="Arial" w:cs="Arial"/>
          <w:lang w:val="en-US"/>
        </w:rPr>
        <w:t>Radin</w:t>
      </w:r>
      <w:r>
        <w:rPr>
          <w:rFonts w:ascii="Arial" w:hAnsi="Arial" w:cs="Arial"/>
          <w:lang w:val="en-US"/>
        </w:rPr>
        <w:t>, above n 22,</w:t>
      </w:r>
      <w:r w:rsidRPr="00AA0A61">
        <w:rPr>
          <w:rFonts w:ascii="Arial" w:hAnsi="Arial" w:cs="Arial"/>
          <w:lang w:val="en-US"/>
        </w:rPr>
        <w:t xml:space="preserve"> at </w:t>
      </w:r>
      <w:r>
        <w:rPr>
          <w:rFonts w:ascii="Arial" w:hAnsi="Arial" w:cs="Arial"/>
          <w:lang w:val="en-US"/>
        </w:rPr>
        <w:t>124</w:t>
      </w:r>
      <w:r w:rsidRPr="00AA0A61">
        <w:rPr>
          <w:rFonts w:ascii="Arial" w:hAnsi="Arial" w:cs="Arial"/>
          <w:lang w:val="en-US"/>
        </w:rPr>
        <w:t>.</w:t>
      </w:r>
    </w:p>
  </w:footnote>
  <w:footnote w:id="81">
    <w:p w14:paraId="0CE76B1D" w14:textId="77777777" w:rsidR="00CC7EB4" w:rsidRPr="00D967D2" w:rsidRDefault="00CC7EB4" w:rsidP="00CC7EB4">
      <w:pPr>
        <w:pStyle w:val="FootnoteText"/>
        <w:rPr>
          <w:rFonts w:ascii="Arial" w:hAnsi="Arial" w:cs="Arial"/>
          <w:lang w:val="en-US"/>
        </w:rPr>
      </w:pPr>
      <w:r w:rsidRPr="00D967D2">
        <w:rPr>
          <w:rStyle w:val="FootnoteReference"/>
          <w:rFonts w:ascii="Arial" w:hAnsi="Arial" w:cs="Arial"/>
        </w:rPr>
        <w:footnoteRef/>
      </w:r>
      <w:r w:rsidRPr="00D967D2">
        <w:rPr>
          <w:rFonts w:ascii="Arial" w:hAnsi="Arial" w:cs="Arial"/>
        </w:rPr>
        <w:t xml:space="preserve"> </w:t>
      </w:r>
      <w:r w:rsidRPr="00D967D2">
        <w:rPr>
          <w:rFonts w:ascii="Arial" w:hAnsi="Arial" w:cs="Arial"/>
          <w:i/>
          <w:iCs/>
        </w:rPr>
        <w:t xml:space="preserve">Bowkett v Action Finance Ltd </w:t>
      </w:r>
      <w:r w:rsidRPr="00D967D2">
        <w:rPr>
          <w:rFonts w:ascii="Arial" w:hAnsi="Arial" w:cs="Arial"/>
        </w:rPr>
        <w:t>[1992] 1 NZLR 449.</w:t>
      </w:r>
    </w:p>
  </w:footnote>
  <w:footnote w:id="82">
    <w:p w14:paraId="25050084" w14:textId="77777777" w:rsidR="00CC7EB4" w:rsidRPr="00D967D2" w:rsidRDefault="00CC7EB4" w:rsidP="00CC7EB4">
      <w:pPr>
        <w:pStyle w:val="FootnoteText"/>
        <w:rPr>
          <w:rFonts w:ascii="Arial" w:hAnsi="Arial" w:cs="Arial"/>
          <w:lang w:val="en-US"/>
        </w:rPr>
      </w:pPr>
      <w:r w:rsidRPr="00D967D2">
        <w:rPr>
          <w:rStyle w:val="FootnoteReference"/>
          <w:rFonts w:ascii="Arial" w:hAnsi="Arial" w:cs="Arial"/>
        </w:rPr>
        <w:footnoteRef/>
      </w:r>
      <w:r w:rsidRPr="00D967D2">
        <w:rPr>
          <w:rFonts w:ascii="Arial" w:hAnsi="Arial" w:cs="Arial"/>
        </w:rPr>
        <w:t xml:space="preserve"> </w:t>
      </w:r>
      <w:r w:rsidRPr="00D967D2">
        <w:rPr>
          <w:rFonts w:ascii="Arial" w:hAnsi="Arial" w:cs="Arial"/>
          <w:lang w:val="en-US"/>
        </w:rPr>
        <w:t>At 450.</w:t>
      </w:r>
    </w:p>
  </w:footnote>
  <w:footnote w:id="83">
    <w:p w14:paraId="4BF19EA5" w14:textId="77777777" w:rsidR="00CC7EB4" w:rsidRPr="00D967D2" w:rsidRDefault="00CC7EB4" w:rsidP="00CC7EB4">
      <w:pPr>
        <w:pStyle w:val="FootnoteText"/>
        <w:rPr>
          <w:rFonts w:ascii="Arial" w:hAnsi="Arial" w:cs="Arial"/>
          <w:lang w:val="en-US"/>
        </w:rPr>
      </w:pPr>
      <w:r w:rsidRPr="00D967D2">
        <w:rPr>
          <w:rStyle w:val="FootnoteReference"/>
          <w:rFonts w:ascii="Arial" w:hAnsi="Arial" w:cs="Arial"/>
        </w:rPr>
        <w:footnoteRef/>
      </w:r>
      <w:r w:rsidRPr="00D967D2">
        <w:rPr>
          <w:rFonts w:ascii="Arial" w:hAnsi="Arial" w:cs="Arial"/>
        </w:rPr>
        <w:t xml:space="preserve"> Radin</w:t>
      </w:r>
      <w:r>
        <w:rPr>
          <w:rFonts w:ascii="Arial" w:hAnsi="Arial" w:cs="Arial"/>
        </w:rPr>
        <w:t>, above n 22, at 124-125.</w:t>
      </w:r>
    </w:p>
  </w:footnote>
  <w:footnote w:id="84">
    <w:p w14:paraId="0F5FFFDA" w14:textId="77777777" w:rsidR="00CC7EB4" w:rsidRPr="00D967D2" w:rsidRDefault="00CC7EB4" w:rsidP="00CC7EB4">
      <w:pPr>
        <w:pStyle w:val="FootnoteText"/>
        <w:rPr>
          <w:rFonts w:ascii="Arial" w:hAnsi="Arial" w:cs="Arial"/>
          <w:lang w:val="en-US"/>
        </w:rPr>
      </w:pPr>
      <w:r w:rsidRPr="00D967D2">
        <w:rPr>
          <w:rStyle w:val="FootnoteReference"/>
          <w:rFonts w:ascii="Arial" w:hAnsi="Arial" w:cs="Arial"/>
        </w:rPr>
        <w:footnoteRef/>
      </w:r>
      <w:r w:rsidRPr="00D967D2">
        <w:rPr>
          <w:rFonts w:ascii="Arial" w:hAnsi="Arial" w:cs="Arial"/>
        </w:rPr>
        <w:t xml:space="preserve"> </w:t>
      </w:r>
      <w:r>
        <w:rPr>
          <w:rFonts w:ascii="Arial" w:hAnsi="Arial" w:cs="Arial"/>
        </w:rPr>
        <w:t>At 124.</w:t>
      </w:r>
    </w:p>
  </w:footnote>
  <w:footnote w:id="85">
    <w:p w14:paraId="70E714DA" w14:textId="77777777" w:rsidR="00CC7EB4" w:rsidRPr="00D967D2" w:rsidRDefault="00CC7EB4" w:rsidP="00CC7EB4">
      <w:pPr>
        <w:pStyle w:val="FootnoteText"/>
        <w:rPr>
          <w:rFonts w:ascii="Arial" w:hAnsi="Arial" w:cs="Arial"/>
          <w:lang w:val="en-US"/>
        </w:rPr>
      </w:pPr>
      <w:r w:rsidRPr="00D967D2">
        <w:rPr>
          <w:rStyle w:val="FootnoteReference"/>
          <w:rFonts w:ascii="Arial" w:hAnsi="Arial" w:cs="Arial"/>
        </w:rPr>
        <w:footnoteRef/>
      </w:r>
      <w:r w:rsidRPr="00D967D2">
        <w:rPr>
          <w:rFonts w:ascii="Arial" w:hAnsi="Arial" w:cs="Arial"/>
        </w:rPr>
        <w:t xml:space="preserve"> </w:t>
      </w:r>
      <w:r>
        <w:rPr>
          <w:rFonts w:ascii="Arial" w:hAnsi="Arial" w:cs="Arial"/>
        </w:rPr>
        <w:t>At 124.</w:t>
      </w:r>
    </w:p>
  </w:footnote>
  <w:footnote w:id="86">
    <w:p w14:paraId="6C17D40C" w14:textId="77777777" w:rsidR="00CC7EB4" w:rsidRPr="00D967D2" w:rsidRDefault="00CC7EB4" w:rsidP="00CC7EB4">
      <w:pPr>
        <w:pStyle w:val="FootnoteText"/>
        <w:rPr>
          <w:rFonts w:ascii="Arial" w:hAnsi="Arial" w:cs="Arial"/>
          <w:lang w:val="en-US"/>
        </w:rPr>
      </w:pPr>
      <w:r w:rsidRPr="00D967D2">
        <w:rPr>
          <w:rStyle w:val="FootnoteReference"/>
          <w:rFonts w:ascii="Arial" w:hAnsi="Arial" w:cs="Arial"/>
        </w:rPr>
        <w:footnoteRef/>
      </w:r>
      <w:r w:rsidRPr="00D967D2">
        <w:rPr>
          <w:rFonts w:ascii="Arial" w:hAnsi="Arial" w:cs="Arial"/>
        </w:rPr>
        <w:t xml:space="preserve"> </w:t>
      </w:r>
      <w:r>
        <w:rPr>
          <w:rFonts w:ascii="Arial" w:hAnsi="Arial" w:cs="Arial"/>
        </w:rPr>
        <w:t>Fair Trading Act 1986, s 7.</w:t>
      </w:r>
    </w:p>
  </w:footnote>
  <w:footnote w:id="87">
    <w:p w14:paraId="692EBCEE" w14:textId="77777777" w:rsidR="00CC7EB4" w:rsidRPr="00D967D2" w:rsidRDefault="00CC7EB4" w:rsidP="00CC7EB4">
      <w:pPr>
        <w:pStyle w:val="FootnoteText"/>
        <w:rPr>
          <w:rFonts w:ascii="Arial" w:hAnsi="Arial" w:cs="Arial"/>
          <w:lang w:val="en-US"/>
        </w:rPr>
      </w:pPr>
      <w:r w:rsidRPr="00D967D2">
        <w:rPr>
          <w:rStyle w:val="FootnoteReference"/>
          <w:rFonts w:ascii="Arial" w:hAnsi="Arial" w:cs="Arial"/>
        </w:rPr>
        <w:footnoteRef/>
      </w:r>
      <w:r w:rsidRPr="00D967D2">
        <w:rPr>
          <w:rFonts w:ascii="Arial" w:hAnsi="Arial" w:cs="Arial"/>
        </w:rPr>
        <w:t xml:space="preserve"> </w:t>
      </w:r>
      <w:r>
        <w:rPr>
          <w:rFonts w:ascii="Arial" w:hAnsi="Arial" w:cs="Arial"/>
        </w:rPr>
        <w:t>Section 7(3).</w:t>
      </w:r>
    </w:p>
  </w:footnote>
  <w:footnote w:id="88">
    <w:p w14:paraId="4112D7F1" w14:textId="77777777" w:rsidR="00CC7EB4" w:rsidRPr="00D967D2" w:rsidRDefault="00CC7EB4" w:rsidP="00CC7EB4">
      <w:pPr>
        <w:pStyle w:val="FootnoteText"/>
        <w:rPr>
          <w:rFonts w:ascii="Arial" w:hAnsi="Arial" w:cs="Arial"/>
          <w:lang w:val="en-US"/>
        </w:rPr>
      </w:pPr>
      <w:r w:rsidRPr="00D967D2">
        <w:rPr>
          <w:rStyle w:val="FootnoteReference"/>
          <w:rFonts w:ascii="Arial" w:hAnsi="Arial" w:cs="Arial"/>
        </w:rPr>
        <w:footnoteRef/>
      </w:r>
      <w:r w:rsidRPr="00D967D2">
        <w:rPr>
          <w:rFonts w:ascii="Arial" w:hAnsi="Arial" w:cs="Arial"/>
        </w:rPr>
        <w:t xml:space="preserve"> </w:t>
      </w:r>
      <w:r>
        <w:rPr>
          <w:rFonts w:ascii="Arial" w:hAnsi="Arial" w:cs="Arial"/>
        </w:rPr>
        <w:t>(12 February 2020) 744 NZPD 16183.</w:t>
      </w:r>
    </w:p>
  </w:footnote>
  <w:footnote w:id="89">
    <w:p w14:paraId="0AF31E75" w14:textId="77777777" w:rsidR="00CC7EB4" w:rsidRPr="00D967D2" w:rsidRDefault="00CC7EB4" w:rsidP="00CC7EB4">
      <w:pPr>
        <w:pStyle w:val="FootnoteText"/>
        <w:rPr>
          <w:rFonts w:ascii="Arial" w:hAnsi="Arial" w:cs="Arial"/>
          <w:lang w:val="en-US"/>
        </w:rPr>
      </w:pPr>
      <w:r w:rsidRPr="00D967D2">
        <w:rPr>
          <w:rStyle w:val="FootnoteReference"/>
          <w:rFonts w:ascii="Arial" w:hAnsi="Arial" w:cs="Arial"/>
        </w:rPr>
        <w:footnoteRef/>
      </w:r>
      <w:r w:rsidRPr="00D967D2">
        <w:rPr>
          <w:rFonts w:ascii="Arial" w:hAnsi="Arial" w:cs="Arial"/>
        </w:rPr>
        <w:t xml:space="preserve"> </w:t>
      </w:r>
      <w:r>
        <w:rPr>
          <w:rFonts w:ascii="Arial" w:hAnsi="Arial" w:cs="Arial"/>
        </w:rPr>
        <w:t>Section 8(2).</w:t>
      </w:r>
    </w:p>
  </w:footnote>
  <w:footnote w:id="90">
    <w:p w14:paraId="2BE4232E" w14:textId="77777777" w:rsidR="00CC7EB4" w:rsidRPr="00D967D2" w:rsidRDefault="00CC7EB4" w:rsidP="00CC7EB4">
      <w:pPr>
        <w:pStyle w:val="FootnoteText"/>
        <w:rPr>
          <w:rFonts w:ascii="Arial" w:hAnsi="Arial" w:cs="Arial"/>
          <w:lang w:val="en-US"/>
        </w:rPr>
      </w:pPr>
      <w:r w:rsidRPr="00D967D2">
        <w:rPr>
          <w:rStyle w:val="FootnoteReference"/>
          <w:rFonts w:ascii="Arial" w:hAnsi="Arial" w:cs="Arial"/>
        </w:rPr>
        <w:footnoteRef/>
      </w:r>
      <w:r w:rsidRPr="00D967D2">
        <w:rPr>
          <w:rFonts w:ascii="Arial" w:hAnsi="Arial" w:cs="Arial"/>
        </w:rPr>
        <w:t xml:space="preserve"> </w:t>
      </w:r>
      <w:r>
        <w:rPr>
          <w:rFonts w:ascii="Arial" w:hAnsi="Arial" w:cs="Arial"/>
        </w:rPr>
        <w:t>Section 8(2)(a).</w:t>
      </w:r>
    </w:p>
  </w:footnote>
  <w:footnote w:id="91">
    <w:p w14:paraId="6A2669C9" w14:textId="77777777" w:rsidR="00CC7EB4" w:rsidRPr="00D967D2" w:rsidRDefault="00CC7EB4" w:rsidP="00CC7EB4">
      <w:pPr>
        <w:pStyle w:val="FootnoteText"/>
        <w:rPr>
          <w:rFonts w:ascii="Arial" w:hAnsi="Arial" w:cs="Arial"/>
          <w:lang w:val="en-US"/>
        </w:rPr>
      </w:pPr>
      <w:r w:rsidRPr="00D967D2">
        <w:rPr>
          <w:rStyle w:val="FootnoteReference"/>
          <w:rFonts w:ascii="Arial" w:hAnsi="Arial" w:cs="Arial"/>
        </w:rPr>
        <w:footnoteRef/>
      </w:r>
      <w:r w:rsidRPr="00D967D2">
        <w:rPr>
          <w:rFonts w:ascii="Arial" w:hAnsi="Arial" w:cs="Arial"/>
        </w:rPr>
        <w:t xml:space="preserve"> </w:t>
      </w:r>
      <w:r>
        <w:rPr>
          <w:rFonts w:ascii="Arial" w:hAnsi="Arial" w:cs="Arial"/>
        </w:rPr>
        <w:t>Section 8(2)(c).</w:t>
      </w:r>
    </w:p>
  </w:footnote>
  <w:footnote w:id="92">
    <w:p w14:paraId="5EB52832" w14:textId="77777777" w:rsidR="00CC7EB4" w:rsidRPr="008B3EE0" w:rsidRDefault="00CC7EB4" w:rsidP="00CC7EB4">
      <w:pPr>
        <w:pStyle w:val="FootnoteText"/>
        <w:rPr>
          <w:rFonts w:ascii="Arial" w:hAnsi="Arial" w:cs="Arial"/>
          <w:lang w:val="en-US"/>
        </w:rPr>
      </w:pPr>
      <w:r w:rsidRPr="00D967D2">
        <w:rPr>
          <w:rStyle w:val="FootnoteReference"/>
          <w:rFonts w:ascii="Arial" w:hAnsi="Arial" w:cs="Arial"/>
        </w:rPr>
        <w:footnoteRef/>
      </w:r>
      <w:r w:rsidRPr="008B3EE0">
        <w:rPr>
          <w:rFonts w:ascii="Arial" w:hAnsi="Arial" w:cs="Arial"/>
        </w:rPr>
        <w:t xml:space="preserve"> </w:t>
      </w:r>
      <w:r>
        <w:rPr>
          <w:rFonts w:ascii="Arial" w:hAnsi="Arial" w:cs="Arial"/>
        </w:rPr>
        <w:t>Section 8(2)(d).</w:t>
      </w:r>
    </w:p>
  </w:footnote>
  <w:footnote w:id="93">
    <w:p w14:paraId="66D400BF" w14:textId="77777777" w:rsidR="00CC7EB4" w:rsidRPr="00EE2CAA" w:rsidRDefault="00CC7EB4" w:rsidP="00CC7EB4">
      <w:pPr>
        <w:pStyle w:val="FootnoteText"/>
        <w:rPr>
          <w:lang w:val="en-US"/>
        </w:rPr>
      </w:pPr>
      <w:r w:rsidRPr="008B3EE0">
        <w:rPr>
          <w:rStyle w:val="FootnoteReference"/>
          <w:rFonts w:ascii="Arial" w:hAnsi="Arial" w:cs="Arial"/>
        </w:rPr>
        <w:footnoteRef/>
      </w:r>
      <w:r w:rsidRPr="008B3EE0">
        <w:rPr>
          <w:rFonts w:ascii="Arial" w:hAnsi="Arial" w:cs="Arial"/>
        </w:rPr>
        <w:t xml:space="preserve"> </w:t>
      </w:r>
      <w:r>
        <w:rPr>
          <w:rFonts w:ascii="Arial" w:hAnsi="Arial" w:cs="Arial"/>
        </w:rPr>
        <w:t>(10 August 2021) 754 NZPD 4418.</w:t>
      </w:r>
    </w:p>
  </w:footnote>
  <w:footnote w:id="94">
    <w:p w14:paraId="6E2D7F84" w14:textId="77777777" w:rsidR="00CC7EB4" w:rsidRPr="008B3EE0" w:rsidRDefault="00CC7EB4" w:rsidP="00CC7EB4">
      <w:pPr>
        <w:pStyle w:val="FootnoteText"/>
        <w:rPr>
          <w:rFonts w:ascii="Arial" w:hAnsi="Arial" w:cs="Arial"/>
          <w:lang w:val="en-US"/>
        </w:rPr>
      </w:pPr>
      <w:r w:rsidRPr="008B3EE0">
        <w:rPr>
          <w:rStyle w:val="FootnoteReference"/>
          <w:rFonts w:ascii="Arial" w:hAnsi="Arial" w:cs="Arial"/>
        </w:rPr>
        <w:footnoteRef/>
      </w:r>
      <w:r w:rsidRPr="008B3EE0">
        <w:rPr>
          <w:rFonts w:ascii="Arial" w:hAnsi="Arial" w:cs="Arial"/>
        </w:rPr>
        <w:t xml:space="preserve"> </w:t>
      </w:r>
      <w:r>
        <w:rPr>
          <w:rFonts w:ascii="Arial" w:hAnsi="Arial" w:cs="Arial"/>
        </w:rPr>
        <w:t>(10 August 2021) 754 NZPD 4416.</w:t>
      </w:r>
    </w:p>
  </w:footnote>
  <w:footnote w:id="95">
    <w:p w14:paraId="6281ECE1" w14:textId="77777777" w:rsidR="00CC7EB4" w:rsidRPr="00460909" w:rsidRDefault="00CC7EB4" w:rsidP="00CC7EB4">
      <w:pPr>
        <w:pStyle w:val="FootnoteText"/>
        <w:rPr>
          <w:rFonts w:ascii="Arial" w:hAnsi="Arial" w:cs="Arial"/>
          <w:lang w:val="en-US"/>
        </w:rPr>
      </w:pPr>
      <w:r w:rsidRPr="008B3EE0">
        <w:rPr>
          <w:rStyle w:val="FootnoteReference"/>
          <w:rFonts w:ascii="Arial" w:hAnsi="Arial" w:cs="Arial"/>
        </w:rPr>
        <w:footnoteRef/>
      </w:r>
      <w:r w:rsidRPr="008B3EE0">
        <w:rPr>
          <w:rFonts w:ascii="Arial" w:hAnsi="Arial" w:cs="Arial"/>
        </w:rPr>
        <w:t xml:space="preserve"> </w:t>
      </w:r>
      <w:r>
        <w:rPr>
          <w:rFonts w:ascii="Arial" w:hAnsi="Arial" w:cs="Arial"/>
          <w:i/>
          <w:iCs/>
        </w:rPr>
        <w:t xml:space="preserve">Uber Technologies Inc v Heller </w:t>
      </w:r>
      <w:r>
        <w:rPr>
          <w:rFonts w:ascii="Arial" w:hAnsi="Arial" w:cs="Arial"/>
        </w:rPr>
        <w:t>2020 SCC 16.</w:t>
      </w:r>
    </w:p>
  </w:footnote>
  <w:footnote w:id="96">
    <w:p w14:paraId="2D694C3B" w14:textId="77777777" w:rsidR="00CC7EB4" w:rsidRPr="008B3EE0" w:rsidRDefault="00CC7EB4" w:rsidP="00CC7EB4">
      <w:pPr>
        <w:pStyle w:val="FootnoteText"/>
        <w:rPr>
          <w:rFonts w:ascii="Arial" w:hAnsi="Arial" w:cs="Arial"/>
          <w:lang w:val="en-US"/>
        </w:rPr>
      </w:pPr>
      <w:r w:rsidRPr="008B3EE0">
        <w:rPr>
          <w:rStyle w:val="FootnoteReference"/>
          <w:rFonts w:ascii="Arial" w:hAnsi="Arial" w:cs="Arial"/>
        </w:rPr>
        <w:footnoteRef/>
      </w:r>
      <w:r w:rsidRPr="008B3EE0">
        <w:rPr>
          <w:rFonts w:ascii="Arial" w:hAnsi="Arial" w:cs="Arial"/>
        </w:rPr>
        <w:t xml:space="preserve"> </w:t>
      </w:r>
      <w:r>
        <w:rPr>
          <w:rFonts w:ascii="Arial" w:hAnsi="Arial" w:cs="Arial"/>
        </w:rPr>
        <w:t>At [1].</w:t>
      </w:r>
    </w:p>
  </w:footnote>
  <w:footnote w:id="97">
    <w:p w14:paraId="3B9E3AC4" w14:textId="77777777" w:rsidR="00CC7EB4" w:rsidRPr="00271830" w:rsidRDefault="00CC7EB4" w:rsidP="00CC7EB4">
      <w:pPr>
        <w:pStyle w:val="FootnoteText"/>
        <w:rPr>
          <w:rFonts w:ascii="Arial" w:hAnsi="Arial" w:cs="Arial"/>
          <w:lang w:val="en-US"/>
        </w:rPr>
      </w:pPr>
      <w:r w:rsidRPr="00271830">
        <w:rPr>
          <w:rStyle w:val="FootnoteReference"/>
          <w:rFonts w:ascii="Arial" w:hAnsi="Arial" w:cs="Arial"/>
        </w:rPr>
        <w:footnoteRef/>
      </w:r>
      <w:r w:rsidRPr="00271830">
        <w:rPr>
          <w:rFonts w:ascii="Arial" w:hAnsi="Arial" w:cs="Arial"/>
        </w:rPr>
        <w:t xml:space="preserve"> At [1].</w:t>
      </w:r>
    </w:p>
  </w:footnote>
  <w:footnote w:id="98">
    <w:p w14:paraId="4041480C" w14:textId="77777777" w:rsidR="00CC7EB4" w:rsidRPr="00271830" w:rsidRDefault="00CC7EB4" w:rsidP="00CC7EB4">
      <w:pPr>
        <w:pStyle w:val="FootnoteText"/>
        <w:rPr>
          <w:rFonts w:ascii="Arial" w:hAnsi="Arial" w:cs="Arial"/>
          <w:lang w:val="en-US"/>
        </w:rPr>
      </w:pPr>
      <w:r w:rsidRPr="00271830">
        <w:rPr>
          <w:rStyle w:val="FootnoteReference"/>
          <w:rFonts w:ascii="Arial" w:hAnsi="Arial" w:cs="Arial"/>
        </w:rPr>
        <w:footnoteRef/>
      </w:r>
      <w:r w:rsidRPr="00271830">
        <w:rPr>
          <w:rFonts w:ascii="Arial" w:hAnsi="Arial" w:cs="Arial"/>
        </w:rPr>
        <w:t xml:space="preserve"> At [2].</w:t>
      </w:r>
    </w:p>
  </w:footnote>
  <w:footnote w:id="99">
    <w:p w14:paraId="2375BBD8" w14:textId="77777777" w:rsidR="00CC7EB4" w:rsidRPr="00271830" w:rsidRDefault="00CC7EB4" w:rsidP="00CC7EB4">
      <w:pPr>
        <w:pStyle w:val="FootnoteText"/>
        <w:rPr>
          <w:rFonts w:ascii="Arial" w:hAnsi="Arial" w:cs="Arial"/>
          <w:lang w:val="en-US"/>
        </w:rPr>
      </w:pPr>
      <w:r w:rsidRPr="00271830">
        <w:rPr>
          <w:rStyle w:val="FootnoteReference"/>
          <w:rFonts w:ascii="Arial" w:hAnsi="Arial" w:cs="Arial"/>
        </w:rPr>
        <w:footnoteRef/>
      </w:r>
      <w:r w:rsidRPr="00271830">
        <w:rPr>
          <w:rFonts w:ascii="Arial" w:hAnsi="Arial" w:cs="Arial"/>
        </w:rPr>
        <w:t xml:space="preserve"> </w:t>
      </w:r>
      <w:r w:rsidRPr="00271830">
        <w:rPr>
          <w:rFonts w:ascii="Arial" w:hAnsi="Arial" w:cs="Arial"/>
          <w:lang w:val="en-US"/>
        </w:rPr>
        <w:t>At [3].</w:t>
      </w:r>
    </w:p>
  </w:footnote>
  <w:footnote w:id="100">
    <w:p w14:paraId="76B40BE2" w14:textId="77777777" w:rsidR="00CC7EB4" w:rsidRPr="00271830" w:rsidRDefault="00CC7EB4" w:rsidP="00CC7EB4">
      <w:pPr>
        <w:pStyle w:val="FootnoteText"/>
        <w:rPr>
          <w:rFonts w:ascii="Arial" w:hAnsi="Arial" w:cs="Arial"/>
          <w:lang w:val="en-US"/>
        </w:rPr>
      </w:pPr>
      <w:r w:rsidRPr="00271830">
        <w:rPr>
          <w:rStyle w:val="FootnoteReference"/>
          <w:rFonts w:ascii="Arial" w:hAnsi="Arial" w:cs="Arial"/>
        </w:rPr>
        <w:footnoteRef/>
      </w:r>
      <w:r w:rsidRPr="00271830">
        <w:rPr>
          <w:rFonts w:ascii="Arial" w:hAnsi="Arial" w:cs="Arial"/>
        </w:rPr>
        <w:t xml:space="preserve"> </w:t>
      </w:r>
      <w:r w:rsidRPr="00271830">
        <w:rPr>
          <w:rFonts w:ascii="Arial" w:hAnsi="Arial" w:cs="Arial"/>
          <w:lang w:val="en-US"/>
        </w:rPr>
        <w:t>At [4].</w:t>
      </w:r>
    </w:p>
  </w:footnote>
  <w:footnote w:id="101">
    <w:p w14:paraId="7438C2B4" w14:textId="77777777" w:rsidR="00CC7EB4" w:rsidRPr="00271830" w:rsidRDefault="00CC7EB4" w:rsidP="00CC7EB4">
      <w:pPr>
        <w:pStyle w:val="FootnoteText"/>
        <w:rPr>
          <w:rFonts w:ascii="Arial" w:hAnsi="Arial" w:cs="Arial"/>
          <w:lang w:val="en-US"/>
        </w:rPr>
      </w:pPr>
      <w:r w:rsidRPr="00271830">
        <w:rPr>
          <w:rStyle w:val="FootnoteReference"/>
          <w:rFonts w:ascii="Arial" w:hAnsi="Arial" w:cs="Arial"/>
        </w:rPr>
        <w:footnoteRef/>
      </w:r>
      <w:r w:rsidRPr="00271830">
        <w:rPr>
          <w:rFonts w:ascii="Arial" w:hAnsi="Arial" w:cs="Arial"/>
        </w:rPr>
        <w:t xml:space="preserve"> </w:t>
      </w:r>
      <w:r w:rsidRPr="00271830">
        <w:rPr>
          <w:rFonts w:ascii="Arial" w:hAnsi="Arial" w:cs="Arial"/>
          <w:lang w:val="en-US"/>
        </w:rPr>
        <w:t>At [65].</w:t>
      </w:r>
    </w:p>
  </w:footnote>
  <w:footnote w:id="102">
    <w:p w14:paraId="409258EB" w14:textId="77777777" w:rsidR="00CC7EB4" w:rsidRPr="00271830" w:rsidRDefault="00CC7EB4" w:rsidP="00CC7EB4">
      <w:pPr>
        <w:pStyle w:val="FootnoteText"/>
        <w:rPr>
          <w:rFonts w:ascii="Arial" w:hAnsi="Arial" w:cs="Arial"/>
          <w:lang w:val="en-US"/>
        </w:rPr>
      </w:pPr>
      <w:r w:rsidRPr="00271830">
        <w:rPr>
          <w:rStyle w:val="FootnoteReference"/>
          <w:rFonts w:ascii="Arial" w:hAnsi="Arial" w:cs="Arial"/>
        </w:rPr>
        <w:footnoteRef/>
      </w:r>
      <w:r w:rsidRPr="00271830">
        <w:rPr>
          <w:rFonts w:ascii="Arial" w:hAnsi="Arial" w:cs="Arial"/>
        </w:rPr>
        <w:t xml:space="preserve"> </w:t>
      </w:r>
      <w:r w:rsidRPr="00271830">
        <w:rPr>
          <w:rFonts w:ascii="Arial" w:hAnsi="Arial" w:cs="Arial"/>
          <w:lang w:val="en-US"/>
        </w:rPr>
        <w:t>At [66].</w:t>
      </w:r>
    </w:p>
  </w:footnote>
  <w:footnote w:id="103">
    <w:p w14:paraId="496A0E01" w14:textId="77777777" w:rsidR="00CC7EB4" w:rsidRPr="00271830" w:rsidRDefault="00CC7EB4" w:rsidP="00CC7EB4">
      <w:pPr>
        <w:pStyle w:val="FootnoteText"/>
        <w:rPr>
          <w:rFonts w:ascii="Arial" w:hAnsi="Arial" w:cs="Arial"/>
          <w:lang w:val="en-US"/>
        </w:rPr>
      </w:pPr>
      <w:r w:rsidRPr="00271830">
        <w:rPr>
          <w:rStyle w:val="FootnoteReference"/>
          <w:rFonts w:ascii="Arial" w:hAnsi="Arial" w:cs="Arial"/>
        </w:rPr>
        <w:footnoteRef/>
      </w:r>
      <w:r w:rsidRPr="00271830">
        <w:rPr>
          <w:rFonts w:ascii="Arial" w:hAnsi="Arial" w:cs="Arial"/>
        </w:rPr>
        <w:t xml:space="preserve"> </w:t>
      </w:r>
      <w:r w:rsidRPr="00271830">
        <w:rPr>
          <w:rFonts w:ascii="Arial" w:hAnsi="Arial" w:cs="Arial"/>
          <w:lang w:val="en-US"/>
        </w:rPr>
        <w:t>At [68].</w:t>
      </w:r>
    </w:p>
  </w:footnote>
  <w:footnote w:id="104">
    <w:p w14:paraId="04A82604" w14:textId="77777777" w:rsidR="00CC7EB4" w:rsidRPr="00271830" w:rsidRDefault="00CC7EB4" w:rsidP="00CC7EB4">
      <w:pPr>
        <w:pStyle w:val="FootnoteText"/>
        <w:rPr>
          <w:rFonts w:ascii="Arial" w:hAnsi="Arial" w:cs="Arial"/>
          <w:lang w:val="en-US"/>
        </w:rPr>
      </w:pPr>
      <w:r w:rsidRPr="00271830">
        <w:rPr>
          <w:rStyle w:val="FootnoteReference"/>
          <w:rFonts w:ascii="Arial" w:hAnsi="Arial" w:cs="Arial"/>
        </w:rPr>
        <w:footnoteRef/>
      </w:r>
      <w:r w:rsidRPr="00271830">
        <w:rPr>
          <w:rFonts w:ascii="Arial" w:hAnsi="Arial" w:cs="Arial"/>
        </w:rPr>
        <w:t xml:space="preserve"> </w:t>
      </w:r>
      <w:r w:rsidRPr="00271830">
        <w:rPr>
          <w:rFonts w:ascii="Arial" w:hAnsi="Arial" w:cs="Arial"/>
          <w:lang w:val="en-US"/>
        </w:rPr>
        <w:t>At [74].</w:t>
      </w:r>
    </w:p>
  </w:footnote>
  <w:footnote w:id="105">
    <w:p w14:paraId="41C71F46" w14:textId="77777777" w:rsidR="00CC7EB4" w:rsidRPr="00271830" w:rsidRDefault="00CC7EB4" w:rsidP="00CC7EB4">
      <w:pPr>
        <w:pStyle w:val="FootnoteText"/>
        <w:rPr>
          <w:rFonts w:ascii="Arial" w:hAnsi="Arial" w:cs="Arial"/>
          <w:lang w:val="en-US"/>
        </w:rPr>
      </w:pPr>
      <w:r w:rsidRPr="00271830">
        <w:rPr>
          <w:rStyle w:val="FootnoteReference"/>
          <w:rFonts w:ascii="Arial" w:hAnsi="Arial" w:cs="Arial"/>
        </w:rPr>
        <w:footnoteRef/>
      </w:r>
      <w:r w:rsidRPr="00271830">
        <w:rPr>
          <w:rFonts w:ascii="Arial" w:hAnsi="Arial" w:cs="Arial"/>
        </w:rPr>
        <w:t xml:space="preserve"> At [98].</w:t>
      </w:r>
    </w:p>
  </w:footnote>
  <w:footnote w:id="106">
    <w:p w14:paraId="0F07A6A3" w14:textId="77777777" w:rsidR="00CC7EB4" w:rsidRPr="00271830" w:rsidRDefault="00CC7EB4" w:rsidP="00CC7EB4">
      <w:pPr>
        <w:pStyle w:val="FootnoteText"/>
        <w:rPr>
          <w:rFonts w:ascii="Arial" w:hAnsi="Arial" w:cs="Arial"/>
          <w:lang w:val="en-US"/>
        </w:rPr>
      </w:pPr>
      <w:r w:rsidRPr="00271830">
        <w:rPr>
          <w:rStyle w:val="FootnoteReference"/>
          <w:rFonts w:ascii="Arial" w:hAnsi="Arial" w:cs="Arial"/>
        </w:rPr>
        <w:footnoteRef/>
      </w:r>
      <w:r w:rsidRPr="00271830">
        <w:rPr>
          <w:rFonts w:ascii="Arial" w:hAnsi="Arial" w:cs="Arial"/>
        </w:rPr>
        <w:t xml:space="preserve"> </w:t>
      </w:r>
      <w:r>
        <w:rPr>
          <w:rFonts w:ascii="Arial" w:hAnsi="Arial" w:cs="Arial"/>
        </w:rPr>
        <w:t>Victoria Stace, Emily Chan and Alexandra Sims “New Zealand’s Unfair Contract Terms Law Fails to Incentivise Businesses to Remove Potentially Unfair Terms from Standard Form Contracts” (2020) 27 CCLJ 235.</w:t>
      </w:r>
    </w:p>
  </w:footnote>
  <w:footnote w:id="107">
    <w:p w14:paraId="33906567" w14:textId="77777777" w:rsidR="00CC7EB4" w:rsidRPr="00542009" w:rsidRDefault="00CC7EB4" w:rsidP="00CC7EB4">
      <w:pPr>
        <w:pStyle w:val="FootnoteText"/>
        <w:rPr>
          <w:rFonts w:ascii="Arial" w:hAnsi="Arial" w:cs="Arial"/>
          <w:lang w:val="en-US"/>
        </w:rPr>
      </w:pPr>
      <w:r w:rsidRPr="00271830">
        <w:rPr>
          <w:rStyle w:val="FootnoteReference"/>
          <w:rFonts w:ascii="Arial" w:hAnsi="Arial" w:cs="Arial"/>
        </w:rPr>
        <w:footnoteRef/>
      </w:r>
      <w:r w:rsidRPr="00542009">
        <w:rPr>
          <w:rFonts w:ascii="Arial" w:hAnsi="Arial" w:cs="Arial"/>
        </w:rPr>
        <w:t xml:space="preserve"> </w:t>
      </w:r>
      <w:r>
        <w:rPr>
          <w:rFonts w:ascii="Arial" w:hAnsi="Arial" w:cs="Arial"/>
        </w:rPr>
        <w:t>At 6.</w:t>
      </w:r>
    </w:p>
  </w:footnote>
  <w:footnote w:id="108">
    <w:p w14:paraId="458EDE02" w14:textId="77777777" w:rsidR="00CC7EB4" w:rsidRPr="00542009" w:rsidRDefault="00CC7EB4" w:rsidP="00CC7EB4">
      <w:pPr>
        <w:pStyle w:val="FootnoteText"/>
        <w:rPr>
          <w:rFonts w:ascii="Arial" w:hAnsi="Arial" w:cs="Arial"/>
          <w:lang w:val="en-US"/>
        </w:rPr>
      </w:pPr>
      <w:r w:rsidRPr="00542009">
        <w:rPr>
          <w:rStyle w:val="FootnoteReference"/>
          <w:rFonts w:ascii="Arial" w:hAnsi="Arial" w:cs="Arial"/>
        </w:rPr>
        <w:footnoteRef/>
      </w:r>
      <w:r w:rsidRPr="00542009">
        <w:rPr>
          <w:rFonts w:ascii="Arial" w:hAnsi="Arial" w:cs="Arial"/>
        </w:rPr>
        <w:t xml:space="preserve"> </w:t>
      </w:r>
      <w:r>
        <w:rPr>
          <w:rFonts w:ascii="Arial" w:hAnsi="Arial" w:cs="Arial"/>
        </w:rPr>
        <w:t>At 6.</w:t>
      </w:r>
    </w:p>
  </w:footnote>
  <w:footnote w:id="109">
    <w:p w14:paraId="14E7D868" w14:textId="77777777" w:rsidR="00CC7EB4" w:rsidRPr="00542009" w:rsidRDefault="00CC7EB4" w:rsidP="00CC7EB4">
      <w:pPr>
        <w:pStyle w:val="FootnoteText"/>
        <w:rPr>
          <w:rFonts w:ascii="Arial" w:hAnsi="Arial" w:cs="Arial"/>
          <w:lang w:val="en-US"/>
        </w:rPr>
      </w:pPr>
      <w:r w:rsidRPr="00542009">
        <w:rPr>
          <w:rStyle w:val="FootnoteReference"/>
          <w:rFonts w:ascii="Arial" w:hAnsi="Arial" w:cs="Arial"/>
        </w:rPr>
        <w:footnoteRef/>
      </w:r>
      <w:r w:rsidRPr="00542009">
        <w:rPr>
          <w:rFonts w:ascii="Arial" w:hAnsi="Arial" w:cs="Arial"/>
        </w:rPr>
        <w:t xml:space="preserve"> </w:t>
      </w:r>
      <w:r w:rsidRPr="00542009">
        <w:rPr>
          <w:rFonts w:ascii="Arial" w:hAnsi="Arial" w:cs="Arial"/>
          <w:lang w:val="en-US"/>
        </w:rPr>
        <w:t>At [88].</w:t>
      </w:r>
    </w:p>
  </w:footnote>
  <w:footnote w:id="110">
    <w:p w14:paraId="1D65D3EB" w14:textId="77777777" w:rsidR="00CC7EB4" w:rsidRPr="00542009" w:rsidRDefault="00CC7EB4" w:rsidP="00CC7EB4">
      <w:pPr>
        <w:pStyle w:val="FootnoteText"/>
        <w:rPr>
          <w:rFonts w:ascii="Arial" w:hAnsi="Arial" w:cs="Arial"/>
          <w:lang w:val="en-US"/>
        </w:rPr>
      </w:pPr>
      <w:r w:rsidRPr="00542009">
        <w:rPr>
          <w:rStyle w:val="FootnoteReference"/>
          <w:rFonts w:ascii="Arial" w:hAnsi="Arial" w:cs="Arial"/>
        </w:rPr>
        <w:footnoteRef/>
      </w:r>
      <w:r w:rsidRPr="00542009">
        <w:rPr>
          <w:rFonts w:ascii="Arial" w:hAnsi="Arial" w:cs="Arial"/>
        </w:rPr>
        <w:t xml:space="preserve"> At [85].</w:t>
      </w:r>
    </w:p>
  </w:footnote>
  <w:footnote w:id="111">
    <w:p w14:paraId="667F9272" w14:textId="77777777" w:rsidR="00CC7EB4" w:rsidRPr="00542009" w:rsidRDefault="00CC7EB4" w:rsidP="00CC7EB4">
      <w:pPr>
        <w:pStyle w:val="FootnoteText"/>
        <w:rPr>
          <w:rFonts w:ascii="Arial" w:hAnsi="Arial" w:cs="Arial"/>
          <w:lang w:val="en-US"/>
        </w:rPr>
      </w:pPr>
      <w:r w:rsidRPr="00542009">
        <w:rPr>
          <w:rStyle w:val="FootnoteReference"/>
          <w:rFonts w:ascii="Arial" w:hAnsi="Arial" w:cs="Arial"/>
        </w:rPr>
        <w:footnoteRef/>
      </w:r>
      <w:r w:rsidRPr="00542009">
        <w:rPr>
          <w:rFonts w:ascii="Arial" w:hAnsi="Arial" w:cs="Arial"/>
        </w:rPr>
        <w:t xml:space="preserve"> At [85].</w:t>
      </w:r>
    </w:p>
  </w:footnote>
  <w:footnote w:id="112">
    <w:p w14:paraId="47220278" w14:textId="77777777" w:rsidR="00CC7EB4" w:rsidRPr="00C25143" w:rsidRDefault="00CC7EB4" w:rsidP="00CC7EB4">
      <w:pPr>
        <w:pStyle w:val="FootnoteText"/>
        <w:rPr>
          <w:rFonts w:ascii="Arial" w:hAnsi="Arial" w:cs="Arial"/>
          <w:lang w:val="en-US"/>
        </w:rPr>
      </w:pPr>
      <w:r w:rsidRPr="00542009">
        <w:rPr>
          <w:rStyle w:val="FootnoteReference"/>
          <w:rFonts w:ascii="Arial" w:hAnsi="Arial" w:cs="Arial"/>
        </w:rPr>
        <w:footnoteRef/>
      </w:r>
      <w:r w:rsidRPr="00542009">
        <w:rPr>
          <w:rFonts w:ascii="Arial" w:hAnsi="Arial" w:cs="Arial"/>
        </w:rPr>
        <w:t xml:space="preserve"> </w:t>
      </w:r>
      <w:r w:rsidRPr="00542009">
        <w:rPr>
          <w:rStyle w:val="ssit"/>
          <w:rFonts w:ascii="Arial" w:hAnsi="Arial" w:cs="Arial"/>
          <w:i/>
          <w:iCs/>
          <w:color w:val="212121"/>
          <w:bdr w:val="none" w:sz="0" w:space="0" w:color="auto" w:frame="1"/>
        </w:rPr>
        <w:t>Gustav</w:t>
      </w:r>
      <w:r>
        <w:rPr>
          <w:rStyle w:val="ssit"/>
          <w:rFonts w:ascii="Arial" w:hAnsi="Arial" w:cs="Arial"/>
          <w:i/>
          <w:iCs/>
          <w:color w:val="212121"/>
          <w:bdr w:val="none" w:sz="0" w:space="0" w:color="auto" w:frame="1"/>
        </w:rPr>
        <w:t xml:space="preserve"> &amp; Co Ltd</w:t>
      </w:r>
      <w:r w:rsidRPr="00542009">
        <w:rPr>
          <w:rStyle w:val="ssit"/>
          <w:rFonts w:ascii="Arial" w:hAnsi="Arial" w:cs="Arial"/>
          <w:i/>
          <w:iCs/>
          <w:color w:val="212121"/>
          <w:bdr w:val="none" w:sz="0" w:space="0" w:color="auto" w:frame="1"/>
        </w:rPr>
        <w:t xml:space="preserve"> v Macfield Ltd</w:t>
      </w:r>
      <w:r w:rsidRPr="00542009">
        <w:rPr>
          <w:rFonts w:ascii="Arial" w:hAnsi="Arial" w:cs="Arial"/>
          <w:color w:val="212121"/>
          <w:shd w:val="clear" w:color="auto" w:fill="FFFFFF"/>
        </w:rPr>
        <w:t xml:space="preserve"> </w:t>
      </w:r>
      <w:r>
        <w:rPr>
          <w:rFonts w:ascii="Arial" w:hAnsi="Arial" w:cs="Arial"/>
          <w:color w:val="212121"/>
          <w:shd w:val="clear" w:color="auto" w:fill="FFFFFF"/>
        </w:rPr>
        <w:t xml:space="preserve">[2007] NZCA 205 </w:t>
      </w:r>
      <w:r w:rsidRPr="00542009">
        <w:rPr>
          <w:rFonts w:ascii="Arial" w:hAnsi="Arial" w:cs="Arial"/>
          <w:color w:val="212121"/>
          <w:shd w:val="clear" w:color="auto" w:fill="FFFFFF"/>
        </w:rPr>
        <w:t>at [30].</w:t>
      </w:r>
      <w:r w:rsidRPr="00C25143">
        <w:rPr>
          <w:rFonts w:ascii="Arial" w:hAnsi="Arial" w:cs="Arial"/>
          <w:lang w:val="en-US"/>
        </w:rPr>
        <w:t xml:space="preserve"> </w:t>
      </w:r>
    </w:p>
  </w:footnote>
  <w:footnote w:id="113">
    <w:p w14:paraId="7EC59460" w14:textId="77777777" w:rsidR="00CC7EB4" w:rsidRPr="00C465EF" w:rsidRDefault="00CC7EB4" w:rsidP="00CC7EB4">
      <w:pPr>
        <w:pStyle w:val="FootnoteText"/>
        <w:rPr>
          <w:rFonts w:ascii="Arial" w:hAnsi="Arial" w:cs="Arial"/>
          <w:lang w:val="en-US"/>
        </w:rPr>
      </w:pPr>
      <w:r w:rsidRPr="00C465EF">
        <w:rPr>
          <w:rStyle w:val="FootnoteReference"/>
          <w:rFonts w:ascii="Arial" w:hAnsi="Arial" w:cs="Arial"/>
        </w:rPr>
        <w:footnoteRef/>
      </w:r>
      <w:r w:rsidRPr="00C465EF">
        <w:rPr>
          <w:rFonts w:ascii="Arial" w:hAnsi="Arial" w:cs="Arial"/>
        </w:rPr>
        <w:t xml:space="preserve"> </w:t>
      </w:r>
      <w:r>
        <w:rPr>
          <w:rFonts w:ascii="Arial" w:hAnsi="Arial" w:cs="Arial"/>
        </w:rPr>
        <w:t xml:space="preserve">Jodi Gardner “Being Conscious of Unconscionability in Modern Times: Heller v Uber Technologies” (2021) 84 Mod. L. Rev. 874 at 882.            </w:t>
      </w:r>
    </w:p>
  </w:footnote>
  <w:footnote w:id="114">
    <w:p w14:paraId="7CDA1E75" w14:textId="77777777" w:rsidR="00CC7EB4" w:rsidRPr="00C465EF" w:rsidRDefault="00CC7EB4" w:rsidP="00CC7EB4">
      <w:pPr>
        <w:pStyle w:val="FootnoteText"/>
        <w:rPr>
          <w:rFonts w:ascii="Arial" w:hAnsi="Arial" w:cs="Arial"/>
          <w:lang w:val="en-US"/>
        </w:rPr>
      </w:pPr>
      <w:r w:rsidRPr="00C465EF">
        <w:rPr>
          <w:rStyle w:val="FootnoteReference"/>
          <w:rFonts w:ascii="Arial" w:hAnsi="Arial" w:cs="Arial"/>
        </w:rPr>
        <w:footnoteRef/>
      </w:r>
      <w:r w:rsidRPr="00C465EF">
        <w:rPr>
          <w:rFonts w:ascii="Arial" w:hAnsi="Arial" w:cs="Arial"/>
        </w:rPr>
        <w:t xml:space="preserve"> </w:t>
      </w:r>
      <w:r>
        <w:rPr>
          <w:rFonts w:ascii="Arial" w:hAnsi="Arial" w:cs="Arial"/>
        </w:rPr>
        <w:t>Sean Chan “</w:t>
      </w:r>
      <w:r w:rsidRPr="00C465EF">
        <w:rPr>
          <w:rFonts w:ascii="Arial" w:hAnsi="Arial" w:cs="Arial"/>
          <w:lang w:val="en-US"/>
        </w:rPr>
        <w:t>Future Proof Doctrine or Relic of an Equitable Past?</w:t>
      </w:r>
      <w:r>
        <w:rPr>
          <w:rFonts w:ascii="Arial" w:hAnsi="Arial" w:cs="Arial"/>
          <w:lang w:val="en-US"/>
        </w:rPr>
        <w:t xml:space="preserve"> Unconscionable Conduct in the Fair Trading Amendment Act 2021” (LLB (Hons) Dissertation, Te Herenga Waka – Victoria University of Wellington, 2021)</w:t>
      </w:r>
      <w:r w:rsidRPr="00C465EF">
        <w:rPr>
          <w:rFonts w:ascii="Arial" w:hAnsi="Arial" w:cs="Arial"/>
          <w:lang w:val="en-US"/>
        </w:rPr>
        <w:t xml:space="preserve"> at 189.</w:t>
      </w:r>
    </w:p>
  </w:footnote>
  <w:footnote w:id="115">
    <w:p w14:paraId="56CF6ACF" w14:textId="77777777" w:rsidR="00CC7EB4" w:rsidRPr="00C465EF" w:rsidRDefault="00CC7EB4" w:rsidP="00CC7EB4">
      <w:pPr>
        <w:pStyle w:val="FootnoteText"/>
        <w:rPr>
          <w:rFonts w:ascii="Arial" w:hAnsi="Arial" w:cs="Arial"/>
          <w:lang w:val="en-US"/>
        </w:rPr>
      </w:pPr>
      <w:r w:rsidRPr="00C465EF">
        <w:rPr>
          <w:rStyle w:val="FootnoteReference"/>
          <w:rFonts w:ascii="Arial" w:hAnsi="Arial" w:cs="Arial"/>
        </w:rPr>
        <w:footnoteRef/>
      </w:r>
      <w:r w:rsidRPr="00C465EF">
        <w:rPr>
          <w:rFonts w:ascii="Arial" w:hAnsi="Arial" w:cs="Arial"/>
        </w:rPr>
        <w:t xml:space="preserve"> </w:t>
      </w:r>
      <w:r>
        <w:rPr>
          <w:rFonts w:ascii="Arial" w:hAnsi="Arial" w:cs="Arial"/>
        </w:rPr>
        <w:t>See, for example, (10 August 2021) 754 NZPD 4416.</w:t>
      </w:r>
    </w:p>
  </w:footnote>
  <w:footnote w:id="116">
    <w:p w14:paraId="6E416E39" w14:textId="77777777" w:rsidR="00CC7EB4" w:rsidRPr="00C465EF" w:rsidRDefault="00CC7EB4" w:rsidP="00CC7EB4">
      <w:pPr>
        <w:pStyle w:val="FootnoteText"/>
        <w:rPr>
          <w:rFonts w:ascii="Arial" w:hAnsi="Arial" w:cs="Arial"/>
          <w:lang w:val="en-US"/>
        </w:rPr>
      </w:pPr>
      <w:r w:rsidRPr="00C465EF">
        <w:rPr>
          <w:rStyle w:val="FootnoteReference"/>
          <w:rFonts w:ascii="Arial" w:hAnsi="Arial" w:cs="Arial"/>
        </w:rPr>
        <w:footnoteRef/>
      </w:r>
      <w:r w:rsidRPr="00C465EF">
        <w:rPr>
          <w:rFonts w:ascii="Arial" w:hAnsi="Arial" w:cs="Arial"/>
        </w:rPr>
        <w:t xml:space="preserve"> </w:t>
      </w:r>
      <w:r>
        <w:rPr>
          <w:rFonts w:ascii="Arial" w:hAnsi="Arial" w:cs="Arial"/>
        </w:rPr>
        <w:t>(3 August 2021) 753 NZPD 4227.</w:t>
      </w:r>
    </w:p>
  </w:footnote>
  <w:footnote w:id="117">
    <w:p w14:paraId="5F2E778B" w14:textId="77777777" w:rsidR="00CC7EB4" w:rsidRPr="00F507B0" w:rsidRDefault="00CC7EB4" w:rsidP="00CC7EB4">
      <w:pPr>
        <w:pStyle w:val="FootnoteText"/>
        <w:rPr>
          <w:rFonts w:ascii="Arial" w:hAnsi="Arial" w:cs="Arial"/>
          <w:lang w:val="en-US"/>
        </w:rPr>
      </w:pPr>
      <w:r w:rsidRPr="0053029B">
        <w:rPr>
          <w:rStyle w:val="FootnoteReference"/>
          <w:rFonts w:ascii="Arial" w:hAnsi="Arial" w:cs="Arial"/>
        </w:rPr>
        <w:footnoteRef/>
      </w:r>
      <w:r w:rsidRPr="0053029B">
        <w:rPr>
          <w:rFonts w:ascii="Arial" w:hAnsi="Arial" w:cs="Arial"/>
        </w:rPr>
        <w:t xml:space="preserve"> </w:t>
      </w:r>
      <w:r>
        <w:rPr>
          <w:rFonts w:ascii="Arial" w:hAnsi="Arial" w:cs="Arial"/>
          <w:i/>
          <w:iCs/>
        </w:rPr>
        <w:t xml:space="preserve">ASIC v Kobelt </w:t>
      </w:r>
      <w:r>
        <w:rPr>
          <w:rFonts w:ascii="Arial" w:hAnsi="Arial" w:cs="Arial"/>
        </w:rPr>
        <w:t>[2019] HCA 18.</w:t>
      </w:r>
    </w:p>
  </w:footnote>
  <w:footnote w:id="118">
    <w:p w14:paraId="14ACEC7C" w14:textId="77777777" w:rsidR="00CC7EB4" w:rsidRPr="0053029B" w:rsidRDefault="00CC7EB4" w:rsidP="00CC7EB4">
      <w:pPr>
        <w:pStyle w:val="FootnoteText"/>
        <w:rPr>
          <w:rFonts w:ascii="Arial" w:hAnsi="Arial" w:cs="Arial"/>
          <w:lang w:val="en-US"/>
        </w:rPr>
      </w:pPr>
      <w:r w:rsidRPr="0053029B">
        <w:rPr>
          <w:rStyle w:val="FootnoteReference"/>
          <w:rFonts w:ascii="Arial" w:hAnsi="Arial" w:cs="Arial"/>
        </w:rPr>
        <w:footnoteRef/>
      </w:r>
      <w:r w:rsidRPr="0053029B">
        <w:rPr>
          <w:rFonts w:ascii="Arial" w:hAnsi="Arial" w:cs="Arial"/>
        </w:rPr>
        <w:t xml:space="preserve"> </w:t>
      </w:r>
      <w:r>
        <w:rPr>
          <w:rFonts w:ascii="Arial" w:hAnsi="Arial" w:cs="Arial"/>
        </w:rPr>
        <w:t>At [46] and [78].</w:t>
      </w:r>
    </w:p>
  </w:footnote>
  <w:footnote w:id="119">
    <w:p w14:paraId="48F9147B" w14:textId="77777777" w:rsidR="00CC7EB4" w:rsidRPr="0053029B" w:rsidRDefault="00CC7EB4" w:rsidP="00CC7EB4">
      <w:pPr>
        <w:pStyle w:val="FootnoteText"/>
        <w:rPr>
          <w:rFonts w:ascii="Arial" w:hAnsi="Arial" w:cs="Arial"/>
          <w:lang w:val="en-US"/>
        </w:rPr>
      </w:pPr>
      <w:r w:rsidRPr="0053029B">
        <w:rPr>
          <w:rStyle w:val="FootnoteReference"/>
          <w:rFonts w:ascii="Arial" w:hAnsi="Arial" w:cs="Arial"/>
        </w:rPr>
        <w:footnoteRef/>
      </w:r>
      <w:r w:rsidRPr="0053029B">
        <w:rPr>
          <w:rFonts w:ascii="Arial" w:hAnsi="Arial" w:cs="Arial"/>
        </w:rPr>
        <w:t xml:space="preserve"> </w:t>
      </w:r>
      <w:r>
        <w:rPr>
          <w:rFonts w:ascii="Arial" w:hAnsi="Arial" w:cs="Arial"/>
        </w:rPr>
        <w:t>At [266].</w:t>
      </w:r>
    </w:p>
  </w:footnote>
  <w:footnote w:id="120">
    <w:p w14:paraId="16939ECF" w14:textId="77777777" w:rsidR="00CC7EB4" w:rsidRPr="00565D11" w:rsidRDefault="00CC7EB4" w:rsidP="00CC7EB4">
      <w:pPr>
        <w:pStyle w:val="FootnoteText"/>
        <w:rPr>
          <w:rFonts w:ascii="Arial" w:hAnsi="Arial" w:cs="Arial"/>
          <w:lang w:val="en-US"/>
        </w:rPr>
      </w:pPr>
      <w:r w:rsidRPr="00565D11">
        <w:rPr>
          <w:rStyle w:val="FootnoteReference"/>
          <w:rFonts w:ascii="Arial" w:hAnsi="Arial" w:cs="Arial"/>
        </w:rPr>
        <w:footnoteRef/>
      </w:r>
      <w:r w:rsidRPr="00565D11">
        <w:rPr>
          <w:rFonts w:ascii="Arial" w:hAnsi="Arial" w:cs="Arial"/>
        </w:rPr>
        <w:t xml:space="preserve"> At [266].</w:t>
      </w:r>
    </w:p>
  </w:footnote>
  <w:footnote w:id="121">
    <w:p w14:paraId="384022CC" w14:textId="77777777" w:rsidR="00CC7EB4" w:rsidRPr="00565D11" w:rsidRDefault="00CC7EB4" w:rsidP="00CC7EB4">
      <w:pPr>
        <w:pStyle w:val="FootnoteText"/>
        <w:rPr>
          <w:rFonts w:ascii="Arial" w:hAnsi="Arial" w:cs="Arial"/>
          <w:lang w:val="en-US"/>
        </w:rPr>
      </w:pPr>
      <w:r w:rsidRPr="00565D11">
        <w:rPr>
          <w:rStyle w:val="FootnoteReference"/>
          <w:rFonts w:ascii="Arial" w:hAnsi="Arial" w:cs="Arial"/>
        </w:rPr>
        <w:footnoteRef/>
      </w:r>
      <w:r w:rsidRPr="00565D11">
        <w:rPr>
          <w:rFonts w:ascii="Arial" w:hAnsi="Arial" w:cs="Arial"/>
        </w:rPr>
        <w:t xml:space="preserve"> </w:t>
      </w:r>
      <w:r w:rsidRPr="00565D11">
        <w:rPr>
          <w:rFonts w:ascii="Arial" w:hAnsi="Arial" w:cs="Arial"/>
          <w:lang w:val="en-US"/>
        </w:rPr>
        <w:t>At [20].</w:t>
      </w:r>
    </w:p>
  </w:footnote>
  <w:footnote w:id="122">
    <w:p w14:paraId="0F83BD69" w14:textId="77777777" w:rsidR="00CC7EB4" w:rsidRPr="00565D11" w:rsidRDefault="00CC7EB4" w:rsidP="00CC7EB4">
      <w:pPr>
        <w:pStyle w:val="FootnoteText"/>
        <w:rPr>
          <w:rFonts w:ascii="Arial" w:hAnsi="Arial" w:cs="Arial"/>
          <w:lang w:val="en-US"/>
        </w:rPr>
      </w:pPr>
      <w:r w:rsidRPr="00565D11">
        <w:rPr>
          <w:rStyle w:val="FootnoteReference"/>
          <w:rFonts w:ascii="Arial" w:hAnsi="Arial" w:cs="Arial"/>
        </w:rPr>
        <w:footnoteRef/>
      </w:r>
      <w:r w:rsidRPr="00565D11">
        <w:rPr>
          <w:rFonts w:ascii="Arial" w:hAnsi="Arial" w:cs="Arial"/>
        </w:rPr>
        <w:t xml:space="preserve"> </w:t>
      </w:r>
      <w:r w:rsidRPr="00565D11">
        <w:rPr>
          <w:rFonts w:ascii="Arial" w:hAnsi="Arial" w:cs="Arial"/>
          <w:lang w:val="en-US"/>
        </w:rPr>
        <w:t>At [3].</w:t>
      </w:r>
    </w:p>
  </w:footnote>
  <w:footnote w:id="123">
    <w:p w14:paraId="4C061BB1" w14:textId="77777777" w:rsidR="00CC7EB4" w:rsidRPr="00565D11" w:rsidRDefault="00CC7EB4" w:rsidP="00CC7EB4">
      <w:pPr>
        <w:pStyle w:val="FootnoteText"/>
        <w:rPr>
          <w:rFonts w:ascii="Arial" w:hAnsi="Arial" w:cs="Arial"/>
          <w:lang w:val="en-US"/>
        </w:rPr>
      </w:pPr>
      <w:r w:rsidRPr="00565D11">
        <w:rPr>
          <w:rStyle w:val="FootnoteReference"/>
          <w:rFonts w:ascii="Arial" w:hAnsi="Arial" w:cs="Arial"/>
        </w:rPr>
        <w:footnoteRef/>
      </w:r>
      <w:r w:rsidRPr="00565D11">
        <w:rPr>
          <w:rFonts w:ascii="Arial" w:hAnsi="Arial" w:cs="Arial"/>
        </w:rPr>
        <w:t xml:space="preserve"> </w:t>
      </w:r>
      <w:r>
        <w:rPr>
          <w:rFonts w:ascii="Arial" w:hAnsi="Arial" w:cs="Arial"/>
        </w:rPr>
        <w:t>At [107].</w:t>
      </w:r>
    </w:p>
  </w:footnote>
  <w:footnote w:id="124">
    <w:p w14:paraId="21613822" w14:textId="77777777" w:rsidR="00CC7EB4" w:rsidRPr="00565D11" w:rsidRDefault="00CC7EB4" w:rsidP="00CC7EB4">
      <w:pPr>
        <w:pStyle w:val="FootnoteText"/>
        <w:rPr>
          <w:rFonts w:ascii="Arial" w:hAnsi="Arial" w:cs="Arial"/>
          <w:lang w:val="en-US"/>
        </w:rPr>
      </w:pPr>
      <w:r w:rsidRPr="00565D11">
        <w:rPr>
          <w:rStyle w:val="FootnoteReference"/>
          <w:rFonts w:ascii="Arial" w:hAnsi="Arial" w:cs="Arial"/>
        </w:rPr>
        <w:footnoteRef/>
      </w:r>
      <w:r w:rsidRPr="00565D11">
        <w:rPr>
          <w:rFonts w:ascii="Arial" w:hAnsi="Arial" w:cs="Arial"/>
        </w:rPr>
        <w:t xml:space="preserve"> </w:t>
      </w:r>
      <w:r w:rsidRPr="00565D11">
        <w:rPr>
          <w:rFonts w:ascii="Arial" w:hAnsi="Arial" w:cs="Arial"/>
          <w:lang w:val="en-US"/>
        </w:rPr>
        <w:t>At [266].</w:t>
      </w:r>
    </w:p>
  </w:footnote>
  <w:footnote w:id="125">
    <w:p w14:paraId="29B33A3C" w14:textId="77777777" w:rsidR="00CC7EB4" w:rsidRPr="00565D11" w:rsidRDefault="00CC7EB4" w:rsidP="00CC7EB4">
      <w:pPr>
        <w:pStyle w:val="FootnoteText"/>
        <w:rPr>
          <w:rFonts w:ascii="Arial" w:hAnsi="Arial" w:cs="Arial"/>
          <w:lang w:val="en-US"/>
        </w:rPr>
      </w:pPr>
      <w:r w:rsidRPr="00565D11">
        <w:rPr>
          <w:rStyle w:val="FootnoteReference"/>
          <w:rFonts w:ascii="Arial" w:hAnsi="Arial" w:cs="Arial"/>
        </w:rPr>
        <w:footnoteRef/>
      </w:r>
      <w:r w:rsidRPr="00565D11">
        <w:rPr>
          <w:rFonts w:ascii="Arial" w:hAnsi="Arial" w:cs="Arial"/>
        </w:rPr>
        <w:t xml:space="preserve"> </w:t>
      </w:r>
      <w:r>
        <w:rPr>
          <w:rFonts w:ascii="Arial" w:hAnsi="Arial" w:cs="Arial"/>
        </w:rPr>
        <w:t>Jeannie Marie Paterson, Elise Bant and Matthew Clare “Doctrine, policy, culture and choice in assessing unconscionable conduct under statute: ASIC v Kobelt” (2020) 13 Eq 81.</w:t>
      </w:r>
    </w:p>
  </w:footnote>
  <w:footnote w:id="126">
    <w:p w14:paraId="5BCDC705" w14:textId="77777777" w:rsidR="00CC7EB4" w:rsidRPr="00565D11" w:rsidRDefault="00CC7EB4" w:rsidP="00CC7EB4">
      <w:pPr>
        <w:pStyle w:val="FootnoteText"/>
        <w:rPr>
          <w:rFonts w:ascii="Arial" w:hAnsi="Arial" w:cs="Arial"/>
          <w:lang w:val="en-US"/>
        </w:rPr>
      </w:pPr>
      <w:r w:rsidRPr="00565D11">
        <w:rPr>
          <w:rStyle w:val="FootnoteReference"/>
          <w:rFonts w:ascii="Arial" w:hAnsi="Arial" w:cs="Arial"/>
        </w:rPr>
        <w:footnoteRef/>
      </w:r>
      <w:r w:rsidRPr="00565D11">
        <w:rPr>
          <w:rFonts w:ascii="Arial" w:hAnsi="Arial" w:cs="Arial"/>
        </w:rPr>
        <w:t xml:space="preserve"> </w:t>
      </w:r>
      <w:r w:rsidRPr="00565D11">
        <w:rPr>
          <w:rFonts w:ascii="Arial" w:hAnsi="Arial" w:cs="Arial"/>
          <w:lang w:val="en-US"/>
        </w:rPr>
        <w:t>At [298]-[300].</w:t>
      </w:r>
    </w:p>
  </w:footnote>
  <w:footnote w:id="127">
    <w:p w14:paraId="0058DFA4" w14:textId="77777777" w:rsidR="00CC7EB4" w:rsidRPr="00565D11" w:rsidRDefault="00CC7EB4" w:rsidP="00CC7EB4">
      <w:pPr>
        <w:pStyle w:val="FootnoteText"/>
        <w:rPr>
          <w:rFonts w:ascii="Arial" w:hAnsi="Arial" w:cs="Arial"/>
        </w:rPr>
      </w:pPr>
      <w:r w:rsidRPr="00565D11">
        <w:rPr>
          <w:rStyle w:val="FootnoteReference"/>
          <w:rFonts w:ascii="Arial" w:hAnsi="Arial" w:cs="Arial"/>
        </w:rPr>
        <w:footnoteRef/>
      </w:r>
      <w:r w:rsidRPr="00565D11">
        <w:rPr>
          <w:rFonts w:ascii="Arial" w:hAnsi="Arial" w:cs="Arial"/>
        </w:rPr>
        <w:t xml:space="preserve"> Henry Materne-Smith “All is fair in love and remote indigenous communities? ASIC v Kobelt (2019) 368 ALR 1” (2020) 41 AdelLawRw 325; </w:t>
      </w:r>
      <w:r>
        <w:rPr>
          <w:rFonts w:ascii="Arial" w:hAnsi="Arial" w:cs="Arial"/>
        </w:rPr>
        <w:t>see also above n 125.</w:t>
      </w:r>
    </w:p>
  </w:footnote>
  <w:footnote w:id="128">
    <w:p w14:paraId="6C883B5E" w14:textId="77777777" w:rsidR="00CC7EB4" w:rsidRPr="00107D41" w:rsidRDefault="00CC7EB4" w:rsidP="00CC7EB4">
      <w:pPr>
        <w:pStyle w:val="FootnoteText"/>
        <w:rPr>
          <w:rFonts w:ascii="Arial" w:hAnsi="Arial" w:cs="Arial"/>
          <w:lang w:val="en-US"/>
        </w:rPr>
      </w:pPr>
      <w:r w:rsidRPr="00565D11">
        <w:rPr>
          <w:rStyle w:val="FootnoteReference"/>
          <w:rFonts w:ascii="Arial" w:hAnsi="Arial" w:cs="Arial"/>
        </w:rPr>
        <w:footnoteRef/>
      </w:r>
      <w:r w:rsidRPr="00565D11">
        <w:rPr>
          <w:rFonts w:ascii="Arial" w:hAnsi="Arial" w:cs="Arial"/>
        </w:rPr>
        <w:t xml:space="preserve"> </w:t>
      </w:r>
      <w:r>
        <w:rPr>
          <w:rFonts w:ascii="Arial" w:hAnsi="Arial" w:cs="Arial"/>
        </w:rPr>
        <w:t>Jeannie Marie Paterson, above n 125, at “Voluntariness” paragraph.</w:t>
      </w:r>
    </w:p>
  </w:footnote>
  <w:footnote w:id="129">
    <w:p w14:paraId="415A661B" w14:textId="77777777" w:rsidR="00CC7EB4" w:rsidRPr="005A1D88" w:rsidRDefault="00CC7EB4" w:rsidP="00CC7EB4">
      <w:pPr>
        <w:pStyle w:val="FootnoteText"/>
        <w:rPr>
          <w:rFonts w:ascii="Arial" w:hAnsi="Arial" w:cs="Arial"/>
          <w:color w:val="000000" w:themeColor="text1"/>
          <w:lang w:val="en-US"/>
        </w:rPr>
      </w:pPr>
      <w:r w:rsidRPr="005A1D88">
        <w:rPr>
          <w:rStyle w:val="FootnoteReference"/>
          <w:rFonts w:ascii="Arial" w:hAnsi="Arial" w:cs="Arial"/>
          <w:color w:val="000000" w:themeColor="text1"/>
        </w:rPr>
        <w:footnoteRef/>
      </w:r>
      <w:r w:rsidRPr="005A1D88">
        <w:rPr>
          <w:rFonts w:ascii="Arial" w:hAnsi="Arial" w:cs="Arial"/>
          <w:color w:val="000000" w:themeColor="text1"/>
        </w:rPr>
        <w:t xml:space="preserve"> </w:t>
      </w:r>
      <w:r>
        <w:rPr>
          <w:rFonts w:ascii="Arial" w:hAnsi="Arial" w:cs="Arial"/>
          <w:color w:val="000000" w:themeColor="text1"/>
        </w:rPr>
        <w:t>Jeannie Marie Paterson, above n 125, at</w:t>
      </w:r>
      <w:r>
        <w:rPr>
          <w:rFonts w:ascii="Arial" w:hAnsi="Arial" w:cs="Arial"/>
          <w:color w:val="000000" w:themeColor="text1"/>
          <w:lang w:val="en-US"/>
        </w:rPr>
        <w:t xml:space="preserve"> “Voluntariness” paragraph.</w:t>
      </w:r>
    </w:p>
  </w:footnote>
  <w:footnote w:id="130">
    <w:p w14:paraId="440C03AF" w14:textId="77777777" w:rsidR="00CC7EB4" w:rsidRPr="005A1D88" w:rsidRDefault="00CC7EB4" w:rsidP="00CC7EB4">
      <w:pPr>
        <w:pStyle w:val="FootnoteText"/>
        <w:rPr>
          <w:rFonts w:ascii="Arial" w:hAnsi="Arial" w:cs="Arial"/>
          <w:color w:val="000000" w:themeColor="text1"/>
          <w:lang w:val="en-US"/>
        </w:rPr>
      </w:pPr>
      <w:r w:rsidRPr="005A1D88">
        <w:rPr>
          <w:rStyle w:val="FootnoteReference"/>
          <w:rFonts w:ascii="Arial" w:hAnsi="Arial" w:cs="Arial"/>
          <w:color w:val="000000" w:themeColor="text1"/>
        </w:rPr>
        <w:footnoteRef/>
      </w:r>
      <w:r w:rsidRPr="005A1D88">
        <w:rPr>
          <w:rFonts w:ascii="Arial" w:hAnsi="Arial" w:cs="Arial"/>
          <w:color w:val="000000" w:themeColor="text1"/>
        </w:rPr>
        <w:t xml:space="preserve"> </w:t>
      </w:r>
      <w:r w:rsidRPr="005A1D88">
        <w:rPr>
          <w:rFonts w:ascii="Arial" w:hAnsi="Arial" w:cs="Arial"/>
          <w:color w:val="000000" w:themeColor="text1"/>
          <w:lang w:val="en-US"/>
        </w:rPr>
        <w:t>Chunlin Leonhard</w:t>
      </w:r>
      <w:r>
        <w:rPr>
          <w:rFonts w:ascii="Arial" w:hAnsi="Arial" w:cs="Arial"/>
          <w:color w:val="000000" w:themeColor="text1"/>
          <w:lang w:val="en-US"/>
        </w:rPr>
        <w:t xml:space="preserve">, above n 4, </w:t>
      </w:r>
      <w:r w:rsidRPr="005A1D88">
        <w:rPr>
          <w:rFonts w:ascii="Arial" w:hAnsi="Arial" w:cs="Arial"/>
          <w:color w:val="000000" w:themeColor="text1"/>
          <w:lang w:val="en-US"/>
        </w:rPr>
        <w:t>at 69.</w:t>
      </w:r>
      <w:r>
        <w:rPr>
          <w:rFonts w:ascii="Arial" w:hAnsi="Arial" w:cs="Arial"/>
          <w:color w:val="000000" w:themeColor="text1"/>
          <w:lang w:val="en-US"/>
        </w:rPr>
        <w:t xml:space="preserve"> </w:t>
      </w:r>
    </w:p>
  </w:footnote>
  <w:footnote w:id="131">
    <w:p w14:paraId="1BF61D4E" w14:textId="77777777" w:rsidR="00CC7EB4" w:rsidRPr="005A1D88" w:rsidRDefault="00CC7EB4" w:rsidP="00CC7EB4">
      <w:pPr>
        <w:pStyle w:val="FootnoteText"/>
        <w:rPr>
          <w:rFonts w:ascii="Arial" w:hAnsi="Arial" w:cs="Arial"/>
          <w:color w:val="000000" w:themeColor="text1"/>
          <w:lang w:val="en-US"/>
        </w:rPr>
      </w:pPr>
      <w:r w:rsidRPr="005A1D88">
        <w:rPr>
          <w:rStyle w:val="FootnoteReference"/>
          <w:rFonts w:ascii="Arial" w:hAnsi="Arial" w:cs="Arial"/>
          <w:color w:val="000000" w:themeColor="text1"/>
        </w:rPr>
        <w:footnoteRef/>
      </w:r>
      <w:r w:rsidRPr="005A1D88">
        <w:rPr>
          <w:rFonts w:ascii="Arial" w:hAnsi="Arial" w:cs="Arial"/>
          <w:color w:val="000000" w:themeColor="text1"/>
        </w:rPr>
        <w:t xml:space="preserve"> </w:t>
      </w:r>
      <w:r>
        <w:rPr>
          <w:rFonts w:ascii="Arial" w:hAnsi="Arial" w:cs="Arial"/>
          <w:color w:val="000000" w:themeColor="text1"/>
        </w:rPr>
        <w:t>At 75.</w:t>
      </w:r>
    </w:p>
  </w:footnote>
  <w:footnote w:id="132">
    <w:p w14:paraId="4BCEECD0" w14:textId="77777777" w:rsidR="00CC7EB4" w:rsidRPr="009B1478" w:rsidRDefault="00CC7EB4" w:rsidP="00CC7EB4">
      <w:pPr>
        <w:pStyle w:val="FootnoteText"/>
        <w:rPr>
          <w:rFonts w:ascii="Arial" w:hAnsi="Arial" w:cs="Arial"/>
          <w:color w:val="000000" w:themeColor="text1"/>
          <w:lang w:val="en-US"/>
        </w:rPr>
      </w:pPr>
      <w:r w:rsidRPr="009B1478">
        <w:rPr>
          <w:rStyle w:val="FootnoteReference"/>
          <w:rFonts w:ascii="Arial" w:hAnsi="Arial" w:cs="Arial"/>
          <w:color w:val="000000" w:themeColor="text1"/>
        </w:rPr>
        <w:footnoteRef/>
      </w:r>
      <w:r w:rsidRPr="009B1478">
        <w:rPr>
          <w:rFonts w:ascii="Arial" w:hAnsi="Arial" w:cs="Arial"/>
          <w:color w:val="000000" w:themeColor="text1"/>
        </w:rPr>
        <w:t xml:space="preserve"> </w:t>
      </w:r>
      <w:r w:rsidRPr="009B1478">
        <w:rPr>
          <w:rFonts w:ascii="Arial" w:hAnsi="Arial" w:cs="Arial"/>
          <w:color w:val="000000" w:themeColor="text1"/>
          <w:lang w:val="en-US"/>
        </w:rPr>
        <w:t>At 69.</w:t>
      </w:r>
    </w:p>
  </w:footnote>
  <w:footnote w:id="133">
    <w:p w14:paraId="5C5FB93C" w14:textId="77777777" w:rsidR="00CC7EB4" w:rsidRPr="009B1478" w:rsidRDefault="00CC7EB4" w:rsidP="00CC7EB4">
      <w:pPr>
        <w:pStyle w:val="FootnoteText"/>
        <w:rPr>
          <w:rFonts w:ascii="Arial" w:hAnsi="Arial" w:cs="Arial"/>
          <w:lang w:val="en-US"/>
        </w:rPr>
      </w:pPr>
      <w:r w:rsidRPr="009B1478">
        <w:rPr>
          <w:rStyle w:val="FootnoteReference"/>
          <w:rFonts w:ascii="Arial" w:hAnsi="Arial" w:cs="Arial"/>
        </w:rPr>
        <w:footnoteRef/>
      </w:r>
      <w:r w:rsidRPr="009B1478">
        <w:rPr>
          <w:rFonts w:ascii="Arial" w:hAnsi="Arial" w:cs="Arial"/>
        </w:rPr>
        <w:t xml:space="preserve"> At 61.</w:t>
      </w:r>
    </w:p>
  </w:footnote>
  <w:footnote w:id="134">
    <w:p w14:paraId="5F520C2F" w14:textId="77777777" w:rsidR="00CC7EB4" w:rsidRPr="009B1478" w:rsidRDefault="00CC7EB4" w:rsidP="00CC7EB4">
      <w:pPr>
        <w:pStyle w:val="FootnoteText"/>
        <w:rPr>
          <w:rFonts w:ascii="Arial" w:hAnsi="Arial" w:cs="Arial"/>
          <w:lang w:val="en-US"/>
        </w:rPr>
      </w:pPr>
      <w:r w:rsidRPr="009B1478">
        <w:rPr>
          <w:rStyle w:val="FootnoteReference"/>
          <w:rFonts w:ascii="Arial" w:hAnsi="Arial" w:cs="Arial"/>
        </w:rPr>
        <w:footnoteRef/>
      </w:r>
      <w:r w:rsidRPr="009B1478">
        <w:rPr>
          <w:rFonts w:ascii="Arial" w:hAnsi="Arial" w:cs="Arial"/>
        </w:rPr>
        <w:t xml:space="preserve"> </w:t>
      </w:r>
      <w:r w:rsidRPr="009B1478">
        <w:rPr>
          <w:rFonts w:ascii="Arial" w:hAnsi="Arial" w:cs="Arial"/>
          <w:lang w:val="en-US"/>
        </w:rPr>
        <w:t>At 61.</w:t>
      </w:r>
    </w:p>
  </w:footnote>
  <w:footnote w:id="135">
    <w:p w14:paraId="69AA5BA9" w14:textId="77777777" w:rsidR="00CC7EB4" w:rsidRPr="009B1478" w:rsidRDefault="00CC7EB4" w:rsidP="00CC7EB4">
      <w:pPr>
        <w:pStyle w:val="FootnoteText"/>
        <w:rPr>
          <w:rFonts w:ascii="Arial" w:hAnsi="Arial" w:cs="Arial"/>
          <w:color w:val="000000" w:themeColor="text1"/>
          <w:lang w:val="en-US"/>
        </w:rPr>
      </w:pPr>
      <w:r w:rsidRPr="009B1478">
        <w:rPr>
          <w:rStyle w:val="FootnoteReference"/>
          <w:rFonts w:ascii="Arial" w:hAnsi="Arial" w:cs="Arial"/>
          <w:color w:val="000000" w:themeColor="text1"/>
        </w:rPr>
        <w:footnoteRef/>
      </w:r>
      <w:r w:rsidRPr="009B1478">
        <w:rPr>
          <w:rFonts w:ascii="Arial" w:hAnsi="Arial" w:cs="Arial"/>
          <w:color w:val="000000" w:themeColor="text1"/>
        </w:rPr>
        <w:t xml:space="preserve"> </w:t>
      </w:r>
      <w:r w:rsidRPr="009B1478">
        <w:rPr>
          <w:rFonts w:ascii="Arial" w:hAnsi="Arial" w:cs="Arial"/>
          <w:color w:val="000000" w:themeColor="text1"/>
          <w:lang w:val="en-US"/>
        </w:rPr>
        <w:t>At 77.</w:t>
      </w:r>
    </w:p>
  </w:footnote>
  <w:footnote w:id="136">
    <w:p w14:paraId="478B5483" w14:textId="77777777" w:rsidR="00CC7EB4" w:rsidRPr="009B1478" w:rsidRDefault="00CC7EB4" w:rsidP="00CC7EB4">
      <w:pPr>
        <w:pStyle w:val="FootnoteText"/>
        <w:rPr>
          <w:rFonts w:ascii="Arial" w:hAnsi="Arial" w:cs="Arial"/>
          <w:lang w:val="en-US"/>
        </w:rPr>
      </w:pPr>
      <w:r w:rsidRPr="009B1478">
        <w:rPr>
          <w:rStyle w:val="FootnoteReference"/>
          <w:rFonts w:ascii="Arial" w:hAnsi="Arial" w:cs="Arial"/>
        </w:rPr>
        <w:footnoteRef/>
      </w:r>
      <w:r w:rsidRPr="009B1478">
        <w:rPr>
          <w:rFonts w:ascii="Arial" w:hAnsi="Arial" w:cs="Arial"/>
        </w:rPr>
        <w:t xml:space="preserve"> </w:t>
      </w:r>
      <w:r w:rsidRPr="009B1478">
        <w:rPr>
          <w:rFonts w:ascii="Arial" w:hAnsi="Arial" w:cs="Arial"/>
          <w:lang w:val="en-US"/>
        </w:rPr>
        <w:t xml:space="preserve">Jeannie Marie Paterson, above n </w:t>
      </w:r>
      <w:r>
        <w:rPr>
          <w:rFonts w:ascii="Arial" w:hAnsi="Arial" w:cs="Arial"/>
          <w:lang w:val="en-US"/>
        </w:rPr>
        <w:t>125,</w:t>
      </w:r>
      <w:r w:rsidRPr="009B1478">
        <w:rPr>
          <w:rFonts w:ascii="Arial" w:hAnsi="Arial" w:cs="Arial"/>
          <w:lang w:val="en-US"/>
        </w:rPr>
        <w:t xml:space="preserve"> at “Voluntariness” paragraph.</w:t>
      </w:r>
    </w:p>
  </w:footnote>
  <w:footnote w:id="137">
    <w:p w14:paraId="4735F191" w14:textId="77777777" w:rsidR="00CC7EB4" w:rsidRPr="00826B53" w:rsidRDefault="00CC7EB4" w:rsidP="00CC7EB4">
      <w:pPr>
        <w:pStyle w:val="FootnoteText"/>
        <w:rPr>
          <w:rFonts w:ascii="Arial" w:hAnsi="Arial" w:cs="Arial"/>
          <w:color w:val="000000" w:themeColor="text1"/>
          <w:lang w:val="en-US"/>
        </w:rPr>
      </w:pPr>
      <w:r w:rsidRPr="009B1478">
        <w:rPr>
          <w:rStyle w:val="FootnoteReference"/>
          <w:rFonts w:ascii="Arial" w:hAnsi="Arial" w:cs="Arial"/>
          <w:color w:val="000000" w:themeColor="text1"/>
        </w:rPr>
        <w:footnoteRef/>
      </w:r>
      <w:r w:rsidRPr="009B1478">
        <w:rPr>
          <w:rFonts w:ascii="Arial" w:hAnsi="Arial" w:cs="Arial"/>
          <w:color w:val="000000" w:themeColor="text1"/>
        </w:rPr>
        <w:t xml:space="preserve"> </w:t>
      </w:r>
      <w:r w:rsidRPr="009B1478">
        <w:rPr>
          <w:rFonts w:ascii="Arial" w:hAnsi="Arial" w:cs="Arial"/>
          <w:i/>
          <w:iCs/>
          <w:color w:val="000000" w:themeColor="text1"/>
          <w:lang w:val="en-US"/>
        </w:rPr>
        <w:t>Uber Technologies v Heller</w:t>
      </w:r>
      <w:r>
        <w:rPr>
          <w:rFonts w:ascii="Arial" w:hAnsi="Arial" w:cs="Arial"/>
          <w:color w:val="000000" w:themeColor="text1"/>
          <w:lang w:val="en-US"/>
        </w:rPr>
        <w:t>, above n 5.</w:t>
      </w:r>
    </w:p>
  </w:footnote>
  <w:footnote w:id="138">
    <w:p w14:paraId="7B81288E" w14:textId="77777777" w:rsidR="00CC7EB4" w:rsidRPr="002E6E20" w:rsidRDefault="00CC7EB4" w:rsidP="00CC7EB4">
      <w:pPr>
        <w:pStyle w:val="FootnoteText"/>
        <w:rPr>
          <w:rFonts w:ascii="Arial" w:hAnsi="Arial" w:cs="Arial"/>
          <w:lang w:val="en-US"/>
        </w:rPr>
      </w:pPr>
      <w:r w:rsidRPr="009B1478">
        <w:rPr>
          <w:rStyle w:val="FootnoteReference"/>
          <w:rFonts w:ascii="Arial" w:hAnsi="Arial" w:cs="Arial"/>
          <w:color w:val="000000" w:themeColor="text1"/>
        </w:rPr>
        <w:footnoteRef/>
      </w:r>
      <w:r w:rsidRPr="009B1478">
        <w:rPr>
          <w:rFonts w:ascii="Arial" w:hAnsi="Arial" w:cs="Arial"/>
          <w:color w:val="000000" w:themeColor="text1"/>
        </w:rPr>
        <w:t xml:space="preserve"> </w:t>
      </w:r>
      <w:r>
        <w:rPr>
          <w:rFonts w:ascii="Arial" w:hAnsi="Arial" w:cs="Arial"/>
          <w:color w:val="000000" w:themeColor="text1"/>
          <w:shd w:val="clear" w:color="auto" w:fill="FFFFFF"/>
        </w:rPr>
        <w:t>Peter Birks</w:t>
      </w:r>
      <w:r w:rsidRPr="009B1478">
        <w:rPr>
          <w:rFonts w:ascii="Arial" w:hAnsi="Arial" w:cs="Arial"/>
          <w:color w:val="000000" w:themeColor="text1"/>
          <w:shd w:val="clear" w:color="auto" w:fill="FFFFFF"/>
        </w:rPr>
        <w:t xml:space="preserve"> “Equity in the Modern Law: An Exercise in Taxonomy” (1996) 26</w:t>
      </w:r>
      <w:r w:rsidRPr="009B1478">
        <w:rPr>
          <w:rStyle w:val="apple-converted-space"/>
          <w:rFonts w:ascii="Arial" w:eastAsiaTheme="majorEastAsia" w:hAnsi="Arial" w:cs="Arial"/>
          <w:color w:val="000000" w:themeColor="text1"/>
          <w:shd w:val="clear" w:color="auto" w:fill="FFFFFF"/>
        </w:rPr>
        <w:t> </w:t>
      </w:r>
      <w:r>
        <w:rPr>
          <w:rStyle w:val="ssit"/>
          <w:rFonts w:ascii="Arial" w:eastAsiaTheme="majorEastAsia" w:hAnsi="Arial" w:cs="Arial"/>
          <w:color w:val="000000" w:themeColor="text1"/>
          <w:bdr w:val="none" w:sz="0" w:space="0" w:color="auto" w:frame="1"/>
        </w:rPr>
        <w:t>UWAL Rev</w:t>
      </w:r>
      <w:r w:rsidRPr="009B1478">
        <w:rPr>
          <w:rFonts w:ascii="Arial" w:hAnsi="Arial" w:cs="Arial"/>
          <w:color w:val="000000" w:themeColor="text1"/>
          <w:shd w:val="clear" w:color="auto" w:fill="FFFFFF"/>
        </w:rPr>
        <w:t xml:space="preserve"> at 16.</w:t>
      </w:r>
    </w:p>
  </w:footnote>
  <w:footnote w:id="139">
    <w:p w14:paraId="24FDCA78" w14:textId="77777777" w:rsidR="00CC7EB4" w:rsidRPr="00923B92" w:rsidRDefault="00CC7EB4" w:rsidP="00CC7EB4">
      <w:pPr>
        <w:pStyle w:val="FootnoteText"/>
        <w:rPr>
          <w:rFonts w:ascii="Arial" w:hAnsi="Arial" w:cs="Arial"/>
          <w:color w:val="000000" w:themeColor="text1"/>
          <w:vertAlign w:val="superscript"/>
        </w:rPr>
      </w:pPr>
      <w:r w:rsidRPr="00923B92">
        <w:rPr>
          <w:rStyle w:val="FootnoteReference"/>
          <w:rFonts w:ascii="Arial" w:hAnsi="Arial" w:cs="Arial"/>
          <w:color w:val="000000" w:themeColor="text1"/>
        </w:rPr>
        <w:footnoteRef/>
      </w:r>
      <w:r w:rsidRPr="00923B92">
        <w:rPr>
          <w:rStyle w:val="FootnoteReference"/>
          <w:rFonts w:ascii="Arial" w:hAnsi="Arial" w:cs="Arial"/>
          <w:color w:val="000000" w:themeColor="text1"/>
        </w:rPr>
        <w:t xml:space="preserve"> </w:t>
      </w:r>
      <w:r>
        <w:rPr>
          <w:rFonts w:ascii="Arial" w:hAnsi="Arial" w:cs="Arial"/>
          <w:color w:val="000000" w:themeColor="text1"/>
        </w:rPr>
        <w:t>Simon Blount “Unconscionability in Online Business to Consumer Contracts” (2021) 2 ANU JOLT 5 at 6.</w:t>
      </w:r>
      <w:r w:rsidRPr="00923B92">
        <w:rPr>
          <w:rStyle w:val="FootnoteReference"/>
          <w:rFonts w:ascii="Arial" w:hAnsi="Arial" w:cs="Arial"/>
          <w:color w:val="000000" w:themeColor="text1"/>
        </w:rPr>
        <w:t xml:space="preserve"> </w:t>
      </w:r>
    </w:p>
  </w:footnote>
  <w:footnote w:id="140">
    <w:p w14:paraId="374D333D" w14:textId="77777777" w:rsidR="00CC7EB4" w:rsidRPr="009E3CCA" w:rsidRDefault="00CC7EB4" w:rsidP="00CC7EB4">
      <w:pPr>
        <w:pStyle w:val="FootnoteText"/>
        <w:rPr>
          <w:rFonts w:ascii="Arial" w:hAnsi="Arial" w:cs="Arial"/>
          <w:lang w:val="en-US"/>
        </w:rPr>
      </w:pPr>
      <w:r w:rsidRPr="002E6E20">
        <w:rPr>
          <w:rStyle w:val="FootnoteReference"/>
          <w:rFonts w:ascii="Arial" w:hAnsi="Arial" w:cs="Arial"/>
        </w:rPr>
        <w:footnoteRef/>
      </w:r>
      <w:r w:rsidRPr="002E6E20">
        <w:rPr>
          <w:rFonts w:ascii="Arial" w:hAnsi="Arial" w:cs="Arial"/>
        </w:rPr>
        <w:t xml:space="preserve"> Fair Trading Act 1986, ss 46H-M.</w:t>
      </w:r>
    </w:p>
  </w:footnote>
  <w:footnote w:id="141">
    <w:p w14:paraId="27B3763D" w14:textId="77777777" w:rsidR="00CC7EB4" w:rsidRPr="00856331" w:rsidRDefault="00CC7EB4" w:rsidP="00CC7EB4">
      <w:pPr>
        <w:pStyle w:val="FootnoteText"/>
        <w:rPr>
          <w:rFonts w:ascii="Arial" w:hAnsi="Arial" w:cs="Arial"/>
          <w:lang w:val="en-US"/>
        </w:rPr>
      </w:pPr>
      <w:r w:rsidRPr="00856331">
        <w:rPr>
          <w:rStyle w:val="FootnoteReference"/>
          <w:rFonts w:ascii="Arial" w:hAnsi="Arial" w:cs="Arial"/>
        </w:rPr>
        <w:footnoteRef/>
      </w:r>
      <w:r w:rsidRPr="00856331">
        <w:rPr>
          <w:rFonts w:ascii="Arial" w:hAnsi="Arial" w:cs="Arial"/>
        </w:rPr>
        <w:t xml:space="preserve"> </w:t>
      </w:r>
      <w:r>
        <w:rPr>
          <w:rFonts w:ascii="Arial" w:hAnsi="Arial" w:cs="Arial"/>
        </w:rPr>
        <w:t>(10 December 2013) 695 NZPD 15394.</w:t>
      </w:r>
    </w:p>
  </w:footnote>
  <w:footnote w:id="142">
    <w:p w14:paraId="2ACBDC27" w14:textId="77777777" w:rsidR="00CC7EB4" w:rsidRPr="00EF4CE4" w:rsidRDefault="00CC7EB4" w:rsidP="00CC7EB4">
      <w:pPr>
        <w:pStyle w:val="FootnoteText"/>
        <w:rPr>
          <w:rFonts w:ascii="Arial" w:hAnsi="Arial" w:cs="Arial"/>
          <w:lang w:val="en-US"/>
        </w:rPr>
      </w:pPr>
      <w:r w:rsidRPr="00856331">
        <w:rPr>
          <w:rStyle w:val="FootnoteReference"/>
          <w:rFonts w:ascii="Arial" w:hAnsi="Arial" w:cs="Arial"/>
        </w:rPr>
        <w:footnoteRef/>
      </w:r>
      <w:r w:rsidRPr="00856331">
        <w:rPr>
          <w:rFonts w:ascii="Arial" w:hAnsi="Arial" w:cs="Arial"/>
        </w:rPr>
        <w:t xml:space="preserve"> </w:t>
      </w:r>
      <w:r>
        <w:rPr>
          <w:rFonts w:ascii="Arial" w:hAnsi="Arial" w:cs="Arial"/>
        </w:rPr>
        <w:t xml:space="preserve">Ministry of Consumer Affairs </w:t>
      </w:r>
      <w:r>
        <w:rPr>
          <w:rFonts w:ascii="Arial" w:hAnsi="Arial" w:cs="Arial"/>
          <w:i/>
          <w:iCs/>
        </w:rPr>
        <w:t xml:space="preserve">Briefing for Commerce Committee on Consumer Law Reform Bill: Including Unfair Contract Term Provisions in the Fair Trading Act </w:t>
      </w:r>
      <w:r>
        <w:rPr>
          <w:rFonts w:ascii="Arial" w:hAnsi="Arial" w:cs="Arial"/>
        </w:rPr>
        <w:t>(Document MED 012, 2012) at [10].</w:t>
      </w:r>
    </w:p>
  </w:footnote>
  <w:footnote w:id="143">
    <w:p w14:paraId="69C97D69" w14:textId="77777777" w:rsidR="00CC7EB4" w:rsidRPr="0076540A" w:rsidRDefault="00CC7EB4" w:rsidP="00CC7EB4">
      <w:pPr>
        <w:pStyle w:val="FootnoteText"/>
        <w:rPr>
          <w:rFonts w:ascii="Arial" w:hAnsi="Arial" w:cs="Arial"/>
          <w:lang w:val="en-US"/>
        </w:rPr>
      </w:pPr>
      <w:r w:rsidRPr="00856331">
        <w:rPr>
          <w:rStyle w:val="FootnoteReference"/>
          <w:rFonts w:ascii="Arial" w:hAnsi="Arial" w:cs="Arial"/>
        </w:rPr>
        <w:footnoteRef/>
      </w:r>
      <w:r w:rsidRPr="00856331">
        <w:rPr>
          <w:rFonts w:ascii="Arial" w:hAnsi="Arial" w:cs="Arial"/>
        </w:rPr>
        <w:t xml:space="preserve"> </w:t>
      </w:r>
      <w:r>
        <w:rPr>
          <w:rFonts w:ascii="Arial" w:hAnsi="Arial" w:cs="Arial"/>
        </w:rPr>
        <w:t xml:space="preserve">Ministry of Consumer Affairs </w:t>
      </w:r>
      <w:r>
        <w:rPr>
          <w:rFonts w:ascii="Arial" w:hAnsi="Arial" w:cs="Arial"/>
          <w:i/>
          <w:iCs/>
        </w:rPr>
        <w:t xml:space="preserve">Consumer Law Reform Additional Paper – September 2010 Unfair Contract Terms </w:t>
      </w:r>
      <w:r>
        <w:rPr>
          <w:rFonts w:ascii="Arial" w:hAnsi="Arial" w:cs="Arial"/>
        </w:rPr>
        <w:t>(September 2010) at 2.</w:t>
      </w:r>
    </w:p>
  </w:footnote>
  <w:footnote w:id="144">
    <w:p w14:paraId="71DD1CA7" w14:textId="77777777" w:rsidR="00CC7EB4" w:rsidRPr="00856331" w:rsidRDefault="00CC7EB4" w:rsidP="00CC7EB4">
      <w:pPr>
        <w:pStyle w:val="FootnoteText"/>
        <w:rPr>
          <w:rFonts w:ascii="Arial" w:hAnsi="Arial" w:cs="Arial"/>
          <w:lang w:val="en-US"/>
        </w:rPr>
      </w:pPr>
      <w:r w:rsidRPr="00856331">
        <w:rPr>
          <w:rStyle w:val="FootnoteReference"/>
          <w:rFonts w:ascii="Arial" w:hAnsi="Arial" w:cs="Arial"/>
        </w:rPr>
        <w:footnoteRef/>
      </w:r>
      <w:r w:rsidRPr="00856331">
        <w:rPr>
          <w:rFonts w:ascii="Arial" w:hAnsi="Arial" w:cs="Arial"/>
        </w:rPr>
        <w:t xml:space="preserve"> </w:t>
      </w:r>
      <w:r>
        <w:rPr>
          <w:rFonts w:ascii="Arial" w:hAnsi="Arial" w:cs="Arial"/>
        </w:rPr>
        <w:t>Section 46I.</w:t>
      </w:r>
    </w:p>
  </w:footnote>
  <w:footnote w:id="145">
    <w:p w14:paraId="4AA12801" w14:textId="77777777" w:rsidR="00CC7EB4" w:rsidRPr="00856331" w:rsidRDefault="00CC7EB4" w:rsidP="00CC7EB4">
      <w:pPr>
        <w:pStyle w:val="FootnoteText"/>
        <w:rPr>
          <w:rFonts w:ascii="Arial" w:hAnsi="Arial" w:cs="Arial"/>
          <w:lang w:val="en-US"/>
        </w:rPr>
      </w:pPr>
      <w:r w:rsidRPr="00856331">
        <w:rPr>
          <w:rStyle w:val="FootnoteReference"/>
          <w:rFonts w:ascii="Arial" w:hAnsi="Arial" w:cs="Arial"/>
        </w:rPr>
        <w:footnoteRef/>
      </w:r>
      <w:r w:rsidRPr="00856331">
        <w:rPr>
          <w:rFonts w:ascii="Arial" w:hAnsi="Arial" w:cs="Arial"/>
        </w:rPr>
        <w:t xml:space="preserve"> </w:t>
      </w:r>
      <w:r>
        <w:rPr>
          <w:rFonts w:ascii="Arial" w:hAnsi="Arial" w:cs="Arial"/>
        </w:rPr>
        <w:t>Section 46L(1).</w:t>
      </w:r>
    </w:p>
  </w:footnote>
  <w:footnote w:id="146">
    <w:p w14:paraId="23889970" w14:textId="77777777" w:rsidR="00CC7EB4" w:rsidRPr="00856331" w:rsidRDefault="00CC7EB4" w:rsidP="00CC7EB4">
      <w:pPr>
        <w:pStyle w:val="FootnoteText"/>
        <w:rPr>
          <w:rFonts w:ascii="Arial" w:hAnsi="Arial" w:cs="Arial"/>
          <w:lang w:val="en-US"/>
        </w:rPr>
      </w:pPr>
      <w:r w:rsidRPr="00856331">
        <w:rPr>
          <w:rStyle w:val="FootnoteReference"/>
          <w:rFonts w:ascii="Arial" w:hAnsi="Arial" w:cs="Arial"/>
        </w:rPr>
        <w:footnoteRef/>
      </w:r>
      <w:r>
        <w:rPr>
          <w:rFonts w:ascii="Arial" w:hAnsi="Arial" w:cs="Arial"/>
        </w:rPr>
        <w:t xml:space="preserve"> Section 46L(2).</w:t>
      </w:r>
      <w:r w:rsidRPr="00856331">
        <w:rPr>
          <w:rFonts w:ascii="Arial" w:hAnsi="Arial" w:cs="Arial"/>
        </w:rPr>
        <w:t xml:space="preserve"> </w:t>
      </w:r>
    </w:p>
  </w:footnote>
  <w:footnote w:id="147">
    <w:p w14:paraId="4A7326D1" w14:textId="77777777" w:rsidR="00CC7EB4" w:rsidRPr="00484199" w:rsidRDefault="00CC7EB4" w:rsidP="00CC7EB4">
      <w:pPr>
        <w:pStyle w:val="FootnoteText"/>
        <w:rPr>
          <w:rFonts w:ascii="Arial" w:hAnsi="Arial" w:cs="Arial"/>
          <w:lang w:val="en-US"/>
        </w:rPr>
      </w:pPr>
      <w:r w:rsidRPr="00484199">
        <w:rPr>
          <w:rStyle w:val="FootnoteReference"/>
          <w:rFonts w:ascii="Arial" w:hAnsi="Arial" w:cs="Arial"/>
        </w:rPr>
        <w:footnoteRef/>
      </w:r>
      <w:r w:rsidRPr="00484199">
        <w:rPr>
          <w:rFonts w:ascii="Arial" w:hAnsi="Arial" w:cs="Arial"/>
        </w:rPr>
        <w:t xml:space="preserve"> </w:t>
      </w:r>
      <w:r>
        <w:rPr>
          <w:rFonts w:ascii="Arial" w:hAnsi="Arial" w:cs="Arial"/>
        </w:rPr>
        <w:t>Section 46M.</w:t>
      </w:r>
    </w:p>
  </w:footnote>
  <w:footnote w:id="148">
    <w:p w14:paraId="3EA5048E" w14:textId="77777777" w:rsidR="00CC7EB4" w:rsidRPr="005E1AC5" w:rsidRDefault="00CC7EB4" w:rsidP="00CC7EB4">
      <w:pPr>
        <w:pStyle w:val="FootnoteText"/>
        <w:rPr>
          <w:rFonts w:ascii="Arial" w:hAnsi="Arial" w:cs="Arial"/>
          <w:lang w:val="en-US"/>
        </w:rPr>
      </w:pPr>
      <w:r w:rsidRPr="00484199">
        <w:rPr>
          <w:rStyle w:val="FootnoteReference"/>
          <w:rFonts w:ascii="Arial" w:hAnsi="Arial" w:cs="Arial"/>
        </w:rPr>
        <w:footnoteRef/>
      </w:r>
      <w:r w:rsidRPr="00484199">
        <w:rPr>
          <w:rFonts w:ascii="Arial" w:hAnsi="Arial" w:cs="Arial"/>
        </w:rPr>
        <w:t xml:space="preserve"> </w:t>
      </w:r>
      <w:r>
        <w:rPr>
          <w:rFonts w:ascii="Arial" w:hAnsi="Arial" w:cs="Arial"/>
          <w:i/>
          <w:iCs/>
        </w:rPr>
        <w:t xml:space="preserve">Commerce Commission v Home Direct Ltd </w:t>
      </w:r>
      <w:r>
        <w:rPr>
          <w:rFonts w:ascii="Arial" w:hAnsi="Arial" w:cs="Arial"/>
        </w:rPr>
        <w:t>[2019] NZHC 2943.</w:t>
      </w:r>
    </w:p>
  </w:footnote>
  <w:footnote w:id="149">
    <w:p w14:paraId="5BAC9340" w14:textId="77777777" w:rsidR="00CC7EB4" w:rsidRPr="00484199" w:rsidRDefault="00CC7EB4" w:rsidP="00CC7EB4">
      <w:pPr>
        <w:pStyle w:val="FootnoteText"/>
        <w:rPr>
          <w:rFonts w:ascii="Arial" w:hAnsi="Arial" w:cs="Arial"/>
          <w:lang w:val="en-US"/>
        </w:rPr>
      </w:pPr>
      <w:r w:rsidRPr="00484199">
        <w:rPr>
          <w:rStyle w:val="FootnoteReference"/>
          <w:rFonts w:ascii="Arial" w:hAnsi="Arial" w:cs="Arial"/>
        </w:rPr>
        <w:footnoteRef/>
      </w:r>
      <w:r w:rsidRPr="00484199">
        <w:rPr>
          <w:rFonts w:ascii="Arial" w:hAnsi="Arial" w:cs="Arial"/>
        </w:rPr>
        <w:t xml:space="preserve"> </w:t>
      </w:r>
      <w:r>
        <w:rPr>
          <w:rFonts w:ascii="Arial" w:hAnsi="Arial" w:cs="Arial"/>
        </w:rPr>
        <w:t>At [2]-[3].</w:t>
      </w:r>
    </w:p>
  </w:footnote>
  <w:footnote w:id="150">
    <w:p w14:paraId="0699EC06" w14:textId="77777777" w:rsidR="00CC7EB4" w:rsidRPr="00484199" w:rsidRDefault="00CC7EB4" w:rsidP="00CC7EB4">
      <w:pPr>
        <w:pStyle w:val="FootnoteText"/>
        <w:rPr>
          <w:rFonts w:ascii="Arial" w:hAnsi="Arial" w:cs="Arial"/>
          <w:lang w:val="en-US"/>
        </w:rPr>
      </w:pPr>
      <w:r w:rsidRPr="00484199">
        <w:rPr>
          <w:rStyle w:val="FootnoteReference"/>
          <w:rFonts w:ascii="Arial" w:hAnsi="Arial" w:cs="Arial"/>
        </w:rPr>
        <w:footnoteRef/>
      </w:r>
      <w:r w:rsidRPr="00484199">
        <w:rPr>
          <w:rFonts w:ascii="Arial" w:hAnsi="Arial" w:cs="Arial"/>
        </w:rPr>
        <w:t xml:space="preserve"> </w:t>
      </w:r>
      <w:r>
        <w:rPr>
          <w:rFonts w:ascii="Arial" w:hAnsi="Arial" w:cs="Arial"/>
        </w:rPr>
        <w:t>At [3].</w:t>
      </w:r>
    </w:p>
  </w:footnote>
  <w:footnote w:id="151">
    <w:p w14:paraId="5A0059A0" w14:textId="77777777" w:rsidR="00CC7EB4" w:rsidRPr="00484199" w:rsidRDefault="00CC7EB4" w:rsidP="00CC7EB4">
      <w:pPr>
        <w:pStyle w:val="FootnoteText"/>
        <w:rPr>
          <w:rFonts w:ascii="Arial" w:hAnsi="Arial" w:cs="Arial"/>
          <w:lang w:val="en-US"/>
        </w:rPr>
      </w:pPr>
      <w:r w:rsidRPr="00484199">
        <w:rPr>
          <w:rStyle w:val="FootnoteReference"/>
          <w:rFonts w:ascii="Arial" w:hAnsi="Arial" w:cs="Arial"/>
        </w:rPr>
        <w:footnoteRef/>
      </w:r>
      <w:r w:rsidRPr="00484199">
        <w:rPr>
          <w:rFonts w:ascii="Arial" w:hAnsi="Arial" w:cs="Arial"/>
        </w:rPr>
        <w:t xml:space="preserve"> </w:t>
      </w:r>
      <w:r>
        <w:rPr>
          <w:rFonts w:ascii="Arial" w:hAnsi="Arial" w:cs="Arial"/>
        </w:rPr>
        <w:t>At [16].</w:t>
      </w:r>
    </w:p>
  </w:footnote>
  <w:footnote w:id="152">
    <w:p w14:paraId="5A7B38D9" w14:textId="77777777" w:rsidR="00CC7EB4" w:rsidRPr="00484199" w:rsidRDefault="00CC7EB4" w:rsidP="00CC7EB4">
      <w:pPr>
        <w:pStyle w:val="FootnoteText"/>
        <w:rPr>
          <w:rFonts w:ascii="Arial" w:hAnsi="Arial" w:cs="Arial"/>
          <w:lang w:val="en-US"/>
        </w:rPr>
      </w:pPr>
      <w:r w:rsidRPr="00484199">
        <w:rPr>
          <w:rStyle w:val="FootnoteReference"/>
          <w:rFonts w:ascii="Arial" w:hAnsi="Arial" w:cs="Arial"/>
        </w:rPr>
        <w:footnoteRef/>
      </w:r>
      <w:r w:rsidRPr="00484199">
        <w:rPr>
          <w:rFonts w:ascii="Arial" w:hAnsi="Arial" w:cs="Arial"/>
        </w:rPr>
        <w:t xml:space="preserve"> </w:t>
      </w:r>
      <w:r w:rsidRPr="00484199">
        <w:rPr>
          <w:rFonts w:ascii="Arial" w:hAnsi="Arial" w:cs="Arial"/>
          <w:lang w:val="en-US"/>
        </w:rPr>
        <w:t>At [46].</w:t>
      </w:r>
    </w:p>
  </w:footnote>
  <w:footnote w:id="153">
    <w:p w14:paraId="4440C1FC" w14:textId="77777777" w:rsidR="00CC7EB4" w:rsidRPr="0084760A" w:rsidRDefault="00CC7EB4" w:rsidP="00CC7EB4">
      <w:pPr>
        <w:pStyle w:val="FootnoteText"/>
        <w:rPr>
          <w:rFonts w:ascii="Arial" w:hAnsi="Arial" w:cs="Arial"/>
          <w:lang w:val="en-US"/>
        </w:rPr>
      </w:pPr>
      <w:r w:rsidRPr="0084760A">
        <w:rPr>
          <w:rStyle w:val="FootnoteReference"/>
          <w:rFonts w:ascii="Arial" w:hAnsi="Arial" w:cs="Arial"/>
        </w:rPr>
        <w:footnoteRef/>
      </w:r>
      <w:r w:rsidRPr="0084760A">
        <w:rPr>
          <w:rFonts w:ascii="Arial" w:hAnsi="Arial" w:cs="Arial"/>
        </w:rPr>
        <w:t xml:space="preserve"> At [40].</w:t>
      </w:r>
    </w:p>
  </w:footnote>
  <w:footnote w:id="154">
    <w:p w14:paraId="035EC2A2" w14:textId="77777777" w:rsidR="00CC7EB4" w:rsidRPr="0084760A" w:rsidRDefault="00CC7EB4" w:rsidP="00CC7EB4">
      <w:pPr>
        <w:pStyle w:val="FootnoteText"/>
        <w:rPr>
          <w:rFonts w:ascii="Arial" w:hAnsi="Arial" w:cs="Arial"/>
          <w:lang w:val="en-US"/>
        </w:rPr>
      </w:pPr>
      <w:r w:rsidRPr="0084760A">
        <w:rPr>
          <w:rStyle w:val="FootnoteReference"/>
          <w:rFonts w:ascii="Arial" w:hAnsi="Arial" w:cs="Arial"/>
        </w:rPr>
        <w:footnoteRef/>
      </w:r>
      <w:r w:rsidRPr="0084760A">
        <w:rPr>
          <w:rFonts w:ascii="Arial" w:hAnsi="Arial" w:cs="Arial"/>
        </w:rPr>
        <w:t xml:space="preserve"> At [46]-[47].</w:t>
      </w:r>
    </w:p>
  </w:footnote>
  <w:footnote w:id="155">
    <w:p w14:paraId="655D6B69" w14:textId="77777777" w:rsidR="00CC7EB4" w:rsidRPr="0084760A" w:rsidRDefault="00CC7EB4" w:rsidP="00CC7EB4">
      <w:pPr>
        <w:pStyle w:val="FootnoteText"/>
        <w:rPr>
          <w:rFonts w:ascii="Arial" w:hAnsi="Arial" w:cs="Arial"/>
          <w:lang w:val="en-US"/>
        </w:rPr>
      </w:pPr>
      <w:r w:rsidRPr="0084760A">
        <w:rPr>
          <w:rStyle w:val="FootnoteReference"/>
          <w:rFonts w:ascii="Arial" w:hAnsi="Arial" w:cs="Arial"/>
        </w:rPr>
        <w:footnoteRef/>
      </w:r>
      <w:r w:rsidRPr="0084760A">
        <w:rPr>
          <w:rFonts w:ascii="Arial" w:hAnsi="Arial" w:cs="Arial"/>
        </w:rPr>
        <w:t xml:space="preserve"> At [60]. </w:t>
      </w:r>
    </w:p>
  </w:footnote>
  <w:footnote w:id="156">
    <w:p w14:paraId="4BEE7B94" w14:textId="77777777" w:rsidR="00CC7EB4" w:rsidRPr="0084760A" w:rsidRDefault="00CC7EB4" w:rsidP="00CC7EB4">
      <w:pPr>
        <w:pStyle w:val="FootnoteText"/>
        <w:rPr>
          <w:rFonts w:ascii="Arial" w:hAnsi="Arial" w:cs="Arial"/>
          <w:lang w:val="en-US"/>
        </w:rPr>
      </w:pPr>
      <w:r w:rsidRPr="0084760A">
        <w:rPr>
          <w:rStyle w:val="FootnoteReference"/>
          <w:rFonts w:ascii="Arial" w:hAnsi="Arial" w:cs="Arial"/>
        </w:rPr>
        <w:footnoteRef/>
      </w:r>
      <w:r w:rsidRPr="0084760A">
        <w:rPr>
          <w:rFonts w:ascii="Arial" w:hAnsi="Arial" w:cs="Arial"/>
        </w:rPr>
        <w:t xml:space="preserve"> </w:t>
      </w:r>
      <w:r>
        <w:rPr>
          <w:rFonts w:ascii="Arial" w:hAnsi="Arial" w:cs="Arial"/>
        </w:rPr>
        <w:t>At [48]-[57].</w:t>
      </w:r>
    </w:p>
  </w:footnote>
  <w:footnote w:id="157">
    <w:p w14:paraId="1707ADD7" w14:textId="77777777" w:rsidR="00CC7EB4" w:rsidRPr="0084760A" w:rsidRDefault="00CC7EB4" w:rsidP="00CC7EB4">
      <w:pPr>
        <w:pStyle w:val="FootnoteText"/>
        <w:rPr>
          <w:rFonts w:ascii="Arial" w:hAnsi="Arial" w:cs="Arial"/>
          <w:lang w:val="en-US"/>
        </w:rPr>
      </w:pPr>
      <w:r w:rsidRPr="0084760A">
        <w:rPr>
          <w:rStyle w:val="FootnoteReference"/>
          <w:rFonts w:ascii="Arial" w:hAnsi="Arial" w:cs="Arial"/>
        </w:rPr>
        <w:footnoteRef/>
      </w:r>
      <w:r w:rsidRPr="0084760A">
        <w:rPr>
          <w:rFonts w:ascii="Arial" w:hAnsi="Arial" w:cs="Arial"/>
        </w:rPr>
        <w:t xml:space="preserve"> </w:t>
      </w:r>
      <w:r w:rsidRPr="0084760A">
        <w:rPr>
          <w:rFonts w:ascii="Arial" w:hAnsi="Arial" w:cs="Arial"/>
          <w:lang w:val="en-US"/>
        </w:rPr>
        <w:t>At [53].</w:t>
      </w:r>
    </w:p>
  </w:footnote>
  <w:footnote w:id="158">
    <w:p w14:paraId="1CA4D91D" w14:textId="77777777" w:rsidR="00CC7EB4" w:rsidRPr="0084760A" w:rsidRDefault="00CC7EB4" w:rsidP="00CC7EB4">
      <w:pPr>
        <w:pStyle w:val="FootnoteText"/>
        <w:rPr>
          <w:rFonts w:ascii="Arial" w:hAnsi="Arial" w:cs="Arial"/>
          <w:lang w:val="en-US"/>
        </w:rPr>
      </w:pPr>
      <w:r w:rsidRPr="0084760A">
        <w:rPr>
          <w:rStyle w:val="FootnoteReference"/>
          <w:rFonts w:ascii="Arial" w:hAnsi="Arial" w:cs="Arial"/>
        </w:rPr>
        <w:footnoteRef/>
      </w:r>
      <w:r w:rsidRPr="0084760A">
        <w:rPr>
          <w:rFonts w:ascii="Arial" w:hAnsi="Arial" w:cs="Arial"/>
        </w:rPr>
        <w:t xml:space="preserve"> </w:t>
      </w:r>
      <w:r w:rsidRPr="0084760A">
        <w:rPr>
          <w:rFonts w:ascii="Arial" w:hAnsi="Arial" w:cs="Arial"/>
          <w:lang w:val="en-US"/>
        </w:rPr>
        <w:t>At [54].</w:t>
      </w:r>
    </w:p>
  </w:footnote>
  <w:footnote w:id="159">
    <w:p w14:paraId="7B29F65D" w14:textId="77777777" w:rsidR="00CC7EB4" w:rsidRPr="0084760A" w:rsidRDefault="00CC7EB4" w:rsidP="00CC7EB4">
      <w:pPr>
        <w:pStyle w:val="FootnoteText"/>
        <w:rPr>
          <w:rFonts w:ascii="Arial" w:hAnsi="Arial" w:cs="Arial"/>
          <w:lang w:val="en-US"/>
        </w:rPr>
      </w:pPr>
      <w:r w:rsidRPr="0084760A">
        <w:rPr>
          <w:rStyle w:val="FootnoteReference"/>
          <w:rFonts w:ascii="Arial" w:hAnsi="Arial" w:cs="Arial"/>
        </w:rPr>
        <w:footnoteRef/>
      </w:r>
      <w:r w:rsidRPr="0084760A">
        <w:rPr>
          <w:rFonts w:ascii="Arial" w:hAnsi="Arial" w:cs="Arial"/>
        </w:rPr>
        <w:t xml:space="preserve"> </w:t>
      </w:r>
      <w:r w:rsidRPr="0084760A">
        <w:rPr>
          <w:rFonts w:ascii="Arial" w:hAnsi="Arial" w:cs="Arial"/>
          <w:lang w:val="en-US"/>
        </w:rPr>
        <w:t>At [48].</w:t>
      </w:r>
    </w:p>
  </w:footnote>
  <w:footnote w:id="160">
    <w:p w14:paraId="13DD3CE8" w14:textId="77777777" w:rsidR="00CC7EB4" w:rsidRPr="0084760A" w:rsidRDefault="00CC7EB4" w:rsidP="00CC7EB4">
      <w:pPr>
        <w:pStyle w:val="FootnoteText"/>
        <w:rPr>
          <w:rFonts w:ascii="Arial" w:hAnsi="Arial" w:cs="Arial"/>
          <w:lang w:val="en-US"/>
        </w:rPr>
      </w:pPr>
      <w:r w:rsidRPr="0084760A">
        <w:rPr>
          <w:rStyle w:val="FootnoteReference"/>
          <w:rFonts w:ascii="Arial" w:hAnsi="Arial" w:cs="Arial"/>
        </w:rPr>
        <w:footnoteRef/>
      </w:r>
      <w:r w:rsidRPr="0084760A">
        <w:rPr>
          <w:rFonts w:ascii="Arial" w:hAnsi="Arial" w:cs="Arial"/>
        </w:rPr>
        <w:t xml:space="preserve"> </w:t>
      </w:r>
      <w:r>
        <w:rPr>
          <w:rFonts w:ascii="Arial" w:hAnsi="Arial" w:cs="Arial"/>
        </w:rPr>
        <w:t>Section 46L.</w:t>
      </w:r>
    </w:p>
  </w:footnote>
  <w:footnote w:id="161">
    <w:p w14:paraId="29765225" w14:textId="77777777" w:rsidR="00CC7EB4" w:rsidRPr="0084760A" w:rsidRDefault="00CC7EB4" w:rsidP="00CC7EB4">
      <w:pPr>
        <w:pStyle w:val="FootnoteText"/>
        <w:rPr>
          <w:rFonts w:ascii="Arial" w:hAnsi="Arial" w:cs="Arial"/>
          <w:lang w:val="en-US"/>
        </w:rPr>
      </w:pPr>
      <w:r w:rsidRPr="0084760A">
        <w:rPr>
          <w:rStyle w:val="FootnoteReference"/>
          <w:rFonts w:ascii="Arial" w:hAnsi="Arial" w:cs="Arial"/>
        </w:rPr>
        <w:footnoteRef/>
      </w:r>
      <w:r w:rsidRPr="0084760A">
        <w:rPr>
          <w:rFonts w:ascii="Arial" w:hAnsi="Arial" w:cs="Arial"/>
        </w:rPr>
        <w:t xml:space="preserve"> </w:t>
      </w:r>
      <w:r>
        <w:rPr>
          <w:rFonts w:ascii="Arial" w:hAnsi="Arial" w:cs="Arial"/>
        </w:rPr>
        <w:t>Section 2.</w:t>
      </w:r>
    </w:p>
  </w:footnote>
  <w:footnote w:id="162">
    <w:p w14:paraId="3B3A2252" w14:textId="77777777" w:rsidR="00CC7EB4" w:rsidRPr="002661F9" w:rsidRDefault="00CC7EB4" w:rsidP="00CC7EB4">
      <w:pPr>
        <w:pStyle w:val="FootnoteText"/>
        <w:rPr>
          <w:rFonts w:ascii="Arial" w:hAnsi="Arial" w:cs="Arial"/>
          <w:lang w:val="en-US"/>
        </w:rPr>
      </w:pPr>
      <w:r w:rsidRPr="002661F9">
        <w:rPr>
          <w:rStyle w:val="FootnoteReference"/>
          <w:rFonts w:ascii="Arial" w:hAnsi="Arial" w:cs="Arial"/>
        </w:rPr>
        <w:footnoteRef/>
      </w:r>
      <w:r w:rsidRPr="002661F9">
        <w:rPr>
          <w:rFonts w:ascii="Arial" w:hAnsi="Arial" w:cs="Arial"/>
        </w:rPr>
        <w:t xml:space="preserve"> </w:t>
      </w:r>
      <w:r w:rsidRPr="002661F9">
        <w:rPr>
          <w:rFonts w:ascii="Arial" w:hAnsi="Arial" w:cs="Arial"/>
          <w:lang w:val="en-US"/>
        </w:rPr>
        <w:t>Consumer Rights Act 2015, s 68.</w:t>
      </w:r>
    </w:p>
  </w:footnote>
  <w:footnote w:id="163">
    <w:p w14:paraId="40436534" w14:textId="77777777" w:rsidR="00CC7EB4" w:rsidRPr="002661F9" w:rsidRDefault="00CC7EB4" w:rsidP="00CC7EB4">
      <w:pPr>
        <w:pStyle w:val="FootnoteText"/>
        <w:rPr>
          <w:rFonts w:ascii="Arial" w:hAnsi="Arial" w:cs="Arial"/>
          <w:lang w:val="en-US"/>
        </w:rPr>
      </w:pPr>
      <w:r w:rsidRPr="002661F9">
        <w:rPr>
          <w:rStyle w:val="FootnoteReference"/>
          <w:rFonts w:ascii="Arial" w:hAnsi="Arial" w:cs="Arial"/>
        </w:rPr>
        <w:footnoteRef/>
      </w:r>
      <w:r w:rsidRPr="002661F9">
        <w:rPr>
          <w:rFonts w:ascii="Arial" w:hAnsi="Arial" w:cs="Arial"/>
        </w:rPr>
        <w:t xml:space="preserve"> Section 68(2).</w:t>
      </w:r>
    </w:p>
  </w:footnote>
  <w:footnote w:id="164">
    <w:p w14:paraId="748E4551" w14:textId="77777777" w:rsidR="00CC7EB4" w:rsidRPr="002661F9" w:rsidRDefault="00CC7EB4" w:rsidP="00CC7EB4">
      <w:pPr>
        <w:pStyle w:val="FootnoteText"/>
        <w:rPr>
          <w:rFonts w:ascii="Arial" w:hAnsi="Arial" w:cs="Arial"/>
          <w:lang w:val="en-US"/>
        </w:rPr>
      </w:pPr>
      <w:r w:rsidRPr="002661F9">
        <w:rPr>
          <w:rStyle w:val="FootnoteReference"/>
          <w:rFonts w:ascii="Arial" w:hAnsi="Arial" w:cs="Arial"/>
        </w:rPr>
        <w:footnoteRef/>
      </w:r>
      <w:r w:rsidRPr="002661F9">
        <w:rPr>
          <w:rFonts w:ascii="Arial" w:hAnsi="Arial" w:cs="Arial"/>
        </w:rPr>
        <w:t xml:space="preserve"> William Britton “Re-Thinking Transparency Under Section 46(2) of the Fair Trading Act: An Empirically Informed Inquiry” (Victoria University of Wellington Legal Research Paper No. 36/2020, 2019).</w:t>
      </w:r>
    </w:p>
  </w:footnote>
  <w:footnote w:id="165">
    <w:p w14:paraId="110634EE" w14:textId="77777777" w:rsidR="00CC7EB4" w:rsidRPr="002661F9" w:rsidRDefault="00CC7EB4" w:rsidP="00CC7EB4">
      <w:pPr>
        <w:pStyle w:val="NormalWeb"/>
        <w:spacing w:before="0" w:beforeAutospacing="0" w:after="0" w:afterAutospacing="0"/>
        <w:rPr>
          <w:rFonts w:ascii="Arial" w:hAnsi="Arial" w:cs="Arial"/>
          <w:sz w:val="20"/>
          <w:szCs w:val="20"/>
        </w:rPr>
      </w:pPr>
      <w:r w:rsidRPr="002661F9">
        <w:rPr>
          <w:rStyle w:val="FootnoteReference"/>
          <w:rFonts w:ascii="Arial" w:hAnsi="Arial" w:cs="Arial"/>
          <w:sz w:val="20"/>
          <w:szCs w:val="20"/>
        </w:rPr>
        <w:footnoteRef/>
      </w:r>
      <w:r w:rsidRPr="002661F9">
        <w:rPr>
          <w:rFonts w:ascii="Arial" w:hAnsi="Arial" w:cs="Arial"/>
          <w:sz w:val="20"/>
          <w:szCs w:val="20"/>
        </w:rPr>
        <w:t xml:space="preserve"> Sirko Harder “Problems in Interpreting the Unfair Contract Terms Provisions of the Australian Consumer Law” (2011) 34 Aust Bar Rev 306.</w:t>
      </w:r>
    </w:p>
  </w:footnote>
  <w:footnote w:id="166">
    <w:p w14:paraId="362955B8" w14:textId="77777777" w:rsidR="00CC7EB4" w:rsidRPr="002661F9" w:rsidRDefault="00CC7EB4" w:rsidP="00CC7EB4">
      <w:pPr>
        <w:pStyle w:val="FootnoteText"/>
        <w:rPr>
          <w:rFonts w:ascii="Arial" w:hAnsi="Arial" w:cs="Arial"/>
          <w:lang w:val="en-US"/>
        </w:rPr>
      </w:pPr>
      <w:r w:rsidRPr="002661F9">
        <w:rPr>
          <w:rStyle w:val="FootnoteReference"/>
          <w:rFonts w:ascii="Arial" w:hAnsi="Arial" w:cs="Arial"/>
        </w:rPr>
        <w:footnoteRef/>
      </w:r>
      <w:r w:rsidRPr="002661F9">
        <w:rPr>
          <w:rFonts w:ascii="Arial" w:hAnsi="Arial" w:cs="Arial"/>
        </w:rPr>
        <w:t xml:space="preserve"> </w:t>
      </w:r>
      <w:r w:rsidRPr="002661F9">
        <w:rPr>
          <w:rFonts w:ascii="Arial" w:hAnsi="Arial" w:cs="Arial"/>
          <w:lang w:val="en-US"/>
        </w:rPr>
        <w:t>At 24.</w:t>
      </w:r>
    </w:p>
  </w:footnote>
  <w:footnote w:id="167">
    <w:p w14:paraId="6ACA43B7" w14:textId="77777777" w:rsidR="00CC7EB4" w:rsidRPr="00B12D46" w:rsidRDefault="00CC7EB4" w:rsidP="00CC7EB4">
      <w:pPr>
        <w:pStyle w:val="FootnoteText"/>
        <w:rPr>
          <w:rFonts w:ascii="Arial" w:hAnsi="Arial" w:cs="Arial"/>
          <w:lang w:val="en-US"/>
        </w:rPr>
      </w:pPr>
      <w:r w:rsidRPr="002661F9">
        <w:rPr>
          <w:rStyle w:val="FootnoteReference"/>
          <w:rFonts w:ascii="Arial" w:hAnsi="Arial" w:cs="Arial"/>
        </w:rPr>
        <w:footnoteRef/>
      </w:r>
      <w:r w:rsidRPr="002661F9">
        <w:rPr>
          <w:rFonts w:ascii="Arial" w:hAnsi="Arial" w:cs="Arial"/>
        </w:rPr>
        <w:t xml:space="preserve"> Florencia Marotta-Wurgler “Even More Than You Wanted to Know About the Failures of Disclosure” (2015) 11 Jerusalem Rev. Legal. Stud. 63 at 64.</w:t>
      </w:r>
    </w:p>
  </w:footnote>
  <w:footnote w:id="168">
    <w:p w14:paraId="6C94B572" w14:textId="77777777" w:rsidR="00CC7EB4" w:rsidRPr="00601016" w:rsidRDefault="00CC7EB4" w:rsidP="00CC7EB4">
      <w:pPr>
        <w:pStyle w:val="FootnoteText"/>
        <w:rPr>
          <w:rFonts w:ascii="Arial" w:hAnsi="Arial" w:cs="Arial"/>
          <w:lang w:val="en-US"/>
        </w:rPr>
      </w:pPr>
      <w:r w:rsidRPr="00601016">
        <w:rPr>
          <w:rStyle w:val="FootnoteReference"/>
          <w:rFonts w:ascii="Arial" w:hAnsi="Arial" w:cs="Arial"/>
        </w:rPr>
        <w:footnoteRef/>
      </w:r>
      <w:r w:rsidRPr="00601016">
        <w:rPr>
          <w:rFonts w:ascii="Arial" w:hAnsi="Arial" w:cs="Arial"/>
        </w:rPr>
        <w:t xml:space="preserve"> Karl N. Llewelyn </w:t>
      </w:r>
      <w:r w:rsidRPr="00601016">
        <w:rPr>
          <w:rFonts w:ascii="Arial" w:hAnsi="Arial" w:cs="Arial"/>
          <w:i/>
          <w:iCs/>
        </w:rPr>
        <w:t xml:space="preserve">The Common Law Tradition: Deciding Appeals </w:t>
      </w:r>
      <w:r w:rsidRPr="00601016">
        <w:rPr>
          <w:rFonts w:ascii="Arial" w:hAnsi="Arial" w:cs="Arial"/>
        </w:rPr>
        <w:t>(Little, Brown and Company, Boston; Toronto, 1960) at 370.</w:t>
      </w:r>
    </w:p>
  </w:footnote>
  <w:footnote w:id="169">
    <w:p w14:paraId="2001BAE5" w14:textId="77777777" w:rsidR="00CC7EB4" w:rsidRPr="00601016" w:rsidRDefault="00CC7EB4" w:rsidP="00CC7EB4">
      <w:pPr>
        <w:pStyle w:val="FootnoteText"/>
        <w:rPr>
          <w:rFonts w:ascii="Arial" w:hAnsi="Arial" w:cs="Arial"/>
          <w:lang w:val="en-US"/>
        </w:rPr>
      </w:pPr>
      <w:r w:rsidRPr="00601016">
        <w:rPr>
          <w:rStyle w:val="FootnoteReference"/>
          <w:rFonts w:ascii="Arial" w:hAnsi="Arial" w:cs="Arial"/>
        </w:rPr>
        <w:footnoteRef/>
      </w:r>
      <w:r w:rsidRPr="00601016">
        <w:rPr>
          <w:rFonts w:ascii="Arial" w:hAnsi="Arial" w:cs="Arial"/>
        </w:rPr>
        <w:t xml:space="preserve"> At 370.</w:t>
      </w:r>
    </w:p>
  </w:footnote>
  <w:footnote w:id="170">
    <w:p w14:paraId="7D6BACFE" w14:textId="77777777" w:rsidR="00CC7EB4" w:rsidRPr="00E423A9" w:rsidRDefault="00CC7EB4" w:rsidP="00CC7EB4">
      <w:pPr>
        <w:pStyle w:val="FootnoteText"/>
        <w:rPr>
          <w:rFonts w:ascii="Arial" w:hAnsi="Arial" w:cs="Arial"/>
          <w:lang w:val="en-US"/>
        </w:rPr>
      </w:pPr>
      <w:r w:rsidRPr="00E423A9">
        <w:rPr>
          <w:rStyle w:val="FootnoteReference"/>
          <w:rFonts w:ascii="Arial" w:hAnsi="Arial" w:cs="Arial"/>
        </w:rPr>
        <w:footnoteRef/>
      </w:r>
      <w:r w:rsidRPr="00E423A9">
        <w:rPr>
          <w:rFonts w:ascii="Arial" w:hAnsi="Arial" w:cs="Arial"/>
        </w:rPr>
        <w:t xml:space="preserve"> At 370.</w:t>
      </w:r>
    </w:p>
  </w:footnote>
  <w:footnote w:id="171">
    <w:p w14:paraId="26D88941" w14:textId="77777777" w:rsidR="00CC7EB4" w:rsidRPr="00E423A9" w:rsidRDefault="00CC7EB4" w:rsidP="00CC7EB4">
      <w:pPr>
        <w:pStyle w:val="FootnoteText"/>
        <w:rPr>
          <w:rFonts w:ascii="Arial" w:hAnsi="Arial" w:cs="Arial"/>
          <w:lang w:val="en-US"/>
        </w:rPr>
      </w:pPr>
      <w:r w:rsidRPr="00E423A9">
        <w:rPr>
          <w:rStyle w:val="FootnoteReference"/>
          <w:rFonts w:ascii="Arial" w:hAnsi="Arial" w:cs="Arial"/>
        </w:rPr>
        <w:footnoteRef/>
      </w:r>
      <w:r w:rsidRPr="00E423A9">
        <w:rPr>
          <w:rFonts w:ascii="Arial" w:hAnsi="Arial" w:cs="Arial"/>
        </w:rPr>
        <w:t xml:space="preserve"> </w:t>
      </w:r>
      <w:r w:rsidRPr="00E423A9">
        <w:rPr>
          <w:rFonts w:ascii="Arial" w:hAnsi="Arial" w:cs="Arial"/>
          <w:lang w:val="en-US"/>
        </w:rPr>
        <w:t>Section 46K.</w:t>
      </w:r>
    </w:p>
  </w:footnote>
  <w:footnote w:id="172">
    <w:p w14:paraId="5C165B8D" w14:textId="77777777" w:rsidR="00CC7EB4" w:rsidRPr="00E423A9" w:rsidRDefault="00CC7EB4" w:rsidP="00CC7EB4">
      <w:pPr>
        <w:pStyle w:val="FootnoteText"/>
        <w:rPr>
          <w:rFonts w:ascii="Arial" w:hAnsi="Arial" w:cs="Arial"/>
          <w:lang w:val="en-US"/>
        </w:rPr>
      </w:pPr>
      <w:r w:rsidRPr="00E423A9">
        <w:rPr>
          <w:rStyle w:val="FootnoteReference"/>
          <w:rFonts w:ascii="Arial" w:hAnsi="Arial" w:cs="Arial"/>
        </w:rPr>
        <w:footnoteRef/>
      </w:r>
      <w:r w:rsidRPr="00E423A9">
        <w:rPr>
          <w:rFonts w:ascii="Arial" w:hAnsi="Arial" w:cs="Arial"/>
        </w:rPr>
        <w:t xml:space="preserve"> At 370.</w:t>
      </w:r>
    </w:p>
  </w:footnote>
  <w:footnote w:id="173">
    <w:p w14:paraId="60C3215D" w14:textId="77777777" w:rsidR="00CC7EB4" w:rsidRPr="00E423A9" w:rsidRDefault="00CC7EB4" w:rsidP="00CC7EB4">
      <w:pPr>
        <w:pStyle w:val="FootnoteText"/>
        <w:rPr>
          <w:rFonts w:ascii="Arial" w:hAnsi="Arial" w:cs="Arial"/>
          <w:lang w:val="en-US"/>
        </w:rPr>
      </w:pPr>
      <w:r w:rsidRPr="00E423A9">
        <w:rPr>
          <w:rStyle w:val="FootnoteReference"/>
          <w:rFonts w:ascii="Arial" w:hAnsi="Arial" w:cs="Arial"/>
        </w:rPr>
        <w:footnoteRef/>
      </w:r>
      <w:r w:rsidRPr="00E423A9">
        <w:rPr>
          <w:rFonts w:ascii="Arial" w:hAnsi="Arial" w:cs="Arial"/>
        </w:rPr>
        <w:t xml:space="preserve"> </w:t>
      </w:r>
      <w:r w:rsidRPr="00E423A9">
        <w:rPr>
          <w:rFonts w:ascii="Arial" w:hAnsi="Arial" w:cs="Arial"/>
          <w:i/>
          <w:iCs/>
        </w:rPr>
        <w:t>Office of Fair Trading v Abbey National Plc</w:t>
      </w:r>
      <w:r>
        <w:rPr>
          <w:rFonts w:ascii="Arial" w:hAnsi="Arial" w:cs="Arial"/>
          <w:i/>
          <w:iCs/>
        </w:rPr>
        <w:t xml:space="preserve"> </w:t>
      </w:r>
      <w:r>
        <w:rPr>
          <w:rFonts w:ascii="Arial" w:hAnsi="Arial" w:cs="Arial"/>
        </w:rPr>
        <w:t>[2009] UKSC 6.</w:t>
      </w:r>
    </w:p>
  </w:footnote>
  <w:footnote w:id="174">
    <w:p w14:paraId="38E3D144" w14:textId="77777777" w:rsidR="00CC7EB4" w:rsidRPr="00E423A9" w:rsidRDefault="00CC7EB4" w:rsidP="00CC7EB4">
      <w:pPr>
        <w:pStyle w:val="FootnoteText"/>
        <w:rPr>
          <w:rFonts w:ascii="Arial" w:hAnsi="Arial" w:cs="Arial"/>
          <w:lang w:val="en-US"/>
        </w:rPr>
      </w:pPr>
      <w:r w:rsidRPr="00E423A9">
        <w:rPr>
          <w:rStyle w:val="FootnoteReference"/>
          <w:rFonts w:ascii="Arial" w:hAnsi="Arial" w:cs="Arial"/>
        </w:rPr>
        <w:footnoteRef/>
      </w:r>
      <w:r w:rsidRPr="00E423A9">
        <w:rPr>
          <w:rFonts w:ascii="Arial" w:hAnsi="Arial" w:cs="Arial"/>
        </w:rPr>
        <w:t xml:space="preserve"> </w:t>
      </w:r>
      <w:r>
        <w:rPr>
          <w:rFonts w:ascii="Arial" w:hAnsi="Arial" w:cs="Arial"/>
        </w:rPr>
        <w:t>Joseph Spooner, above n 7, a</w:t>
      </w:r>
      <w:r w:rsidRPr="00E423A9">
        <w:rPr>
          <w:rFonts w:ascii="Arial" w:hAnsi="Arial" w:cs="Arial"/>
        </w:rPr>
        <w:t>t 16.</w:t>
      </w:r>
    </w:p>
  </w:footnote>
  <w:footnote w:id="175">
    <w:p w14:paraId="16DFE76F" w14:textId="77777777" w:rsidR="00CC7EB4" w:rsidRPr="00E423A9" w:rsidRDefault="00CC7EB4" w:rsidP="00CC7EB4">
      <w:pPr>
        <w:pStyle w:val="FootnoteText"/>
        <w:rPr>
          <w:rFonts w:ascii="Arial" w:hAnsi="Arial" w:cs="Arial"/>
          <w:lang w:val="en-US"/>
        </w:rPr>
      </w:pPr>
      <w:r w:rsidRPr="00E423A9">
        <w:rPr>
          <w:rStyle w:val="FootnoteReference"/>
          <w:rFonts w:ascii="Arial" w:hAnsi="Arial" w:cs="Arial"/>
        </w:rPr>
        <w:footnoteRef/>
      </w:r>
      <w:r w:rsidRPr="00E423A9">
        <w:rPr>
          <w:rFonts w:ascii="Arial" w:hAnsi="Arial" w:cs="Arial"/>
        </w:rPr>
        <w:t xml:space="preserve"> At 5.</w:t>
      </w:r>
    </w:p>
  </w:footnote>
  <w:footnote w:id="176">
    <w:p w14:paraId="26BE5CFA" w14:textId="77777777" w:rsidR="00CC7EB4" w:rsidRPr="00E423A9" w:rsidRDefault="00CC7EB4" w:rsidP="00CC7EB4">
      <w:pPr>
        <w:pStyle w:val="FootnoteText"/>
        <w:rPr>
          <w:rFonts w:ascii="Arial" w:hAnsi="Arial" w:cs="Arial"/>
          <w:lang w:val="en-US"/>
        </w:rPr>
      </w:pPr>
      <w:r w:rsidRPr="00E423A9">
        <w:rPr>
          <w:rStyle w:val="FootnoteReference"/>
          <w:rFonts w:ascii="Arial" w:hAnsi="Arial" w:cs="Arial"/>
        </w:rPr>
        <w:footnoteRef/>
      </w:r>
      <w:r w:rsidRPr="00E423A9">
        <w:rPr>
          <w:rFonts w:ascii="Arial" w:hAnsi="Arial" w:cs="Arial"/>
        </w:rPr>
        <w:t xml:space="preserve"> At 17.</w:t>
      </w:r>
    </w:p>
  </w:footnote>
  <w:footnote w:id="177">
    <w:p w14:paraId="70019984" w14:textId="77777777" w:rsidR="00CC7EB4" w:rsidRPr="00E423A9" w:rsidRDefault="00CC7EB4" w:rsidP="00CC7EB4">
      <w:pPr>
        <w:pStyle w:val="FootnoteText"/>
        <w:rPr>
          <w:rFonts w:ascii="Arial" w:hAnsi="Arial" w:cs="Arial"/>
          <w:lang w:val="en-US"/>
        </w:rPr>
      </w:pPr>
      <w:r w:rsidRPr="00E423A9">
        <w:rPr>
          <w:rStyle w:val="FootnoteReference"/>
          <w:rFonts w:ascii="Arial" w:hAnsi="Arial" w:cs="Arial"/>
        </w:rPr>
        <w:footnoteRef/>
      </w:r>
      <w:r w:rsidRPr="00E423A9">
        <w:rPr>
          <w:rFonts w:ascii="Arial" w:hAnsi="Arial" w:cs="Arial"/>
        </w:rPr>
        <w:t xml:space="preserve"> Todd D. Rakoff “Contracts of Adhesion: An Essay in Reconstruction” (1983) 96 Harv. Law. Rev 1173 at 1187.</w:t>
      </w:r>
    </w:p>
  </w:footnote>
  <w:footnote w:id="178">
    <w:p w14:paraId="086B4DB9" w14:textId="77777777" w:rsidR="00CC7EB4" w:rsidRPr="00601016" w:rsidRDefault="00CC7EB4" w:rsidP="00CC7EB4">
      <w:pPr>
        <w:pStyle w:val="FootnoteText"/>
        <w:rPr>
          <w:rFonts w:ascii="Arial" w:hAnsi="Arial" w:cs="Arial"/>
          <w:lang w:val="en-US"/>
        </w:rPr>
      </w:pPr>
      <w:r w:rsidRPr="00E423A9">
        <w:rPr>
          <w:rStyle w:val="FootnoteReference"/>
          <w:rFonts w:ascii="Arial" w:hAnsi="Arial" w:cs="Arial"/>
        </w:rPr>
        <w:footnoteRef/>
      </w:r>
      <w:r w:rsidRPr="00E423A9">
        <w:rPr>
          <w:rFonts w:ascii="Arial" w:hAnsi="Arial" w:cs="Arial"/>
        </w:rPr>
        <w:t xml:space="preserve"> At 1258.</w:t>
      </w:r>
    </w:p>
  </w:footnote>
  <w:footnote w:id="179">
    <w:p w14:paraId="179173EC" w14:textId="77777777" w:rsidR="00CC7EB4" w:rsidRPr="002C7D1B"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James Devenney “The Consumer Rights Act 2015 and related reforms: an epic disappointment?” in Roger Halson and David Campbell (ed) </w:t>
      </w:r>
      <w:r w:rsidRPr="002C7D1B">
        <w:rPr>
          <w:rFonts w:ascii="Arial" w:hAnsi="Arial" w:cs="Arial"/>
          <w:i/>
          <w:iCs/>
          <w:color w:val="000000" w:themeColor="text1"/>
        </w:rPr>
        <w:t>Research Handbook on Remedies in Private Law</w:t>
      </w:r>
      <w:r w:rsidRPr="002C7D1B">
        <w:rPr>
          <w:rFonts w:ascii="Arial" w:hAnsi="Arial" w:cs="Arial"/>
          <w:color w:val="000000" w:themeColor="text1"/>
        </w:rPr>
        <w:t xml:space="preserve"> (Edward Elgar Publishing, Cheltenham; Massachusetts, 2019) 257 at 285.</w:t>
      </w:r>
    </w:p>
  </w:footnote>
  <w:footnote w:id="180">
    <w:p w14:paraId="4218E3AD" w14:textId="77777777" w:rsidR="00CC7EB4" w:rsidRPr="002C7D1B"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Donald B. King “Standard Form Contracts: A Call for Reality” (2000) 44 St. Louis U .L.J. 909 at 913 and 914.</w:t>
      </w:r>
    </w:p>
  </w:footnote>
  <w:footnote w:id="181">
    <w:p w14:paraId="4FE32D80" w14:textId="77777777" w:rsidR="00CC7EB4" w:rsidRPr="002C7D1B"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w:t>
      </w:r>
      <w:r w:rsidRPr="002C7D1B">
        <w:rPr>
          <w:rFonts w:ascii="Arial" w:hAnsi="Arial" w:cs="Arial"/>
          <w:i/>
          <w:iCs/>
        </w:rPr>
        <w:t xml:space="preserve">Thornton v Shoe Lane Parking Ltd </w:t>
      </w:r>
      <w:r w:rsidRPr="002C7D1B">
        <w:rPr>
          <w:rFonts w:ascii="Arial" w:hAnsi="Arial" w:cs="Arial"/>
        </w:rPr>
        <w:t>[1971] 2 QB 163.</w:t>
      </w:r>
    </w:p>
  </w:footnote>
  <w:footnote w:id="182">
    <w:p w14:paraId="5955768B" w14:textId="77777777" w:rsidR="00CC7EB4" w:rsidRPr="002C7D1B"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More commonly known as offer and acceptance in the antipodean jurisprudence.</w:t>
      </w:r>
    </w:p>
  </w:footnote>
  <w:footnote w:id="183">
    <w:p w14:paraId="3EB193AE" w14:textId="77777777" w:rsidR="00CC7EB4" w:rsidRPr="002C7D1B"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Alan Schwartz and Louis L. Wilde “Intervening in Markets on the Basis of Imperfect Information: A Legal and Economic Analysis” (1979) 127 U. Pa. L. Rev. 630.</w:t>
      </w:r>
    </w:p>
  </w:footnote>
  <w:footnote w:id="184">
    <w:p w14:paraId="3D7B443E" w14:textId="77777777" w:rsidR="00CC7EB4" w:rsidRPr="002C7D1B" w:rsidRDefault="00CC7EB4" w:rsidP="00CC7EB4">
      <w:pPr>
        <w:pStyle w:val="FootnoteText"/>
        <w:rPr>
          <w:rFonts w:ascii="Arial" w:hAnsi="Arial" w:cs="Arial"/>
        </w:rPr>
      </w:pPr>
      <w:r w:rsidRPr="002C7D1B">
        <w:rPr>
          <w:rStyle w:val="FootnoteReference"/>
          <w:rFonts w:ascii="Arial" w:hAnsi="Arial" w:cs="Arial"/>
        </w:rPr>
        <w:footnoteRef/>
      </w:r>
      <w:r w:rsidRPr="002C7D1B">
        <w:rPr>
          <w:rFonts w:ascii="Arial" w:hAnsi="Arial" w:cs="Arial"/>
        </w:rPr>
        <w:t xml:space="preserve"> Orit Gan “The Many Faces of Contractual Consent” (2017) 65 Drake L. Rev. 615 at 624.</w:t>
      </w:r>
    </w:p>
  </w:footnote>
  <w:footnote w:id="185">
    <w:p w14:paraId="3CF5C3AF" w14:textId="77777777" w:rsidR="00CC7EB4" w:rsidRPr="00F17C56"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Oxford English Dictionary “Consent” </w:t>
      </w:r>
      <w:hyperlink r:id="rId3" w:history="1">
        <w:r w:rsidRPr="002C7D1B">
          <w:rPr>
            <w:rStyle w:val="Hyperlink"/>
            <w:rFonts w:ascii="Arial" w:hAnsi="Arial" w:cs="Arial"/>
          </w:rPr>
          <w:t>www.oed.com</w:t>
        </w:r>
      </w:hyperlink>
      <w:r w:rsidRPr="002C7D1B">
        <w:rPr>
          <w:rFonts w:ascii="Arial" w:hAnsi="Arial" w:cs="Arial"/>
        </w:rPr>
        <w:t>.</w:t>
      </w:r>
    </w:p>
  </w:footnote>
  <w:footnote w:id="186">
    <w:p w14:paraId="3B60DD27" w14:textId="77777777" w:rsidR="00CC7EB4" w:rsidRPr="00F17C56" w:rsidRDefault="00CC7EB4" w:rsidP="00CC7EB4">
      <w:pPr>
        <w:pStyle w:val="FootnoteText"/>
        <w:rPr>
          <w:rFonts w:ascii="Arial" w:hAnsi="Arial" w:cs="Arial"/>
          <w:lang w:val="en-US"/>
        </w:rPr>
      </w:pPr>
      <w:r w:rsidRPr="00F17C56">
        <w:rPr>
          <w:rStyle w:val="FootnoteReference"/>
          <w:rFonts w:ascii="Arial" w:hAnsi="Arial" w:cs="Arial"/>
        </w:rPr>
        <w:footnoteRef/>
      </w:r>
      <w:r w:rsidRPr="00F17C56">
        <w:rPr>
          <w:rFonts w:ascii="Arial" w:hAnsi="Arial" w:cs="Arial"/>
        </w:rPr>
        <w:t xml:space="preserve"> </w:t>
      </w:r>
      <w:r>
        <w:rPr>
          <w:rFonts w:ascii="Arial" w:hAnsi="Arial" w:cs="Arial"/>
        </w:rPr>
        <w:t>Chunlin Leonhard, above n 4, a</w:t>
      </w:r>
      <w:r w:rsidRPr="00F17C56">
        <w:rPr>
          <w:rFonts w:ascii="Arial" w:hAnsi="Arial" w:cs="Arial"/>
        </w:rPr>
        <w:t>t 67.</w:t>
      </w:r>
    </w:p>
  </w:footnote>
  <w:footnote w:id="187">
    <w:p w14:paraId="0E10ED13" w14:textId="77777777" w:rsidR="00CC7EB4" w:rsidRPr="00843FDC" w:rsidRDefault="00CC7EB4" w:rsidP="00CC7EB4">
      <w:pPr>
        <w:pStyle w:val="FootnoteText"/>
        <w:rPr>
          <w:rFonts w:ascii="Arial" w:hAnsi="Arial" w:cs="Arial"/>
          <w:lang w:val="en-US"/>
        </w:rPr>
      </w:pPr>
      <w:r w:rsidRPr="00F17C56">
        <w:rPr>
          <w:rStyle w:val="FootnoteReference"/>
          <w:rFonts w:ascii="Arial" w:hAnsi="Arial" w:cs="Arial"/>
        </w:rPr>
        <w:footnoteRef/>
      </w:r>
      <w:r w:rsidRPr="00843FDC">
        <w:rPr>
          <w:rFonts w:ascii="Arial" w:hAnsi="Arial" w:cs="Arial"/>
        </w:rPr>
        <w:t xml:space="preserve"> </w:t>
      </w:r>
      <w:r>
        <w:rPr>
          <w:rFonts w:ascii="Arial" w:hAnsi="Arial" w:cs="Arial"/>
        </w:rPr>
        <w:t>At 90.</w:t>
      </w:r>
    </w:p>
  </w:footnote>
  <w:footnote w:id="188">
    <w:p w14:paraId="3A63A574" w14:textId="77777777" w:rsidR="00CC7EB4" w:rsidRPr="00843FDC" w:rsidRDefault="00CC7EB4" w:rsidP="00CC7EB4">
      <w:pPr>
        <w:pStyle w:val="FootnoteText"/>
        <w:rPr>
          <w:rFonts w:ascii="Arial" w:hAnsi="Arial" w:cs="Arial"/>
          <w:lang w:val="en-US"/>
        </w:rPr>
      </w:pPr>
      <w:r w:rsidRPr="00843FDC">
        <w:rPr>
          <w:rStyle w:val="FootnoteReference"/>
          <w:rFonts w:ascii="Arial" w:hAnsi="Arial" w:cs="Arial"/>
        </w:rPr>
        <w:footnoteRef/>
      </w:r>
      <w:r w:rsidRPr="00843FDC">
        <w:rPr>
          <w:rFonts w:ascii="Arial" w:hAnsi="Arial" w:cs="Arial"/>
        </w:rPr>
        <w:t xml:space="preserve"> </w:t>
      </w:r>
      <w:r>
        <w:rPr>
          <w:rFonts w:ascii="Arial" w:hAnsi="Arial" w:cs="Arial"/>
          <w:lang w:val="en-US"/>
        </w:rPr>
        <w:t>At 80.</w:t>
      </w:r>
    </w:p>
  </w:footnote>
  <w:footnote w:id="189">
    <w:p w14:paraId="1BCF2BC9" w14:textId="77777777" w:rsidR="00CC7EB4" w:rsidRPr="00834BA3" w:rsidRDefault="00CC7EB4" w:rsidP="00CC7EB4">
      <w:pPr>
        <w:pStyle w:val="FootnoteText"/>
        <w:rPr>
          <w:rFonts w:ascii="Arial" w:hAnsi="Arial" w:cs="Arial"/>
          <w:lang w:val="en-US"/>
        </w:rPr>
      </w:pPr>
      <w:r w:rsidRPr="00834BA3">
        <w:rPr>
          <w:rStyle w:val="FootnoteReference"/>
          <w:rFonts w:ascii="Arial" w:hAnsi="Arial" w:cs="Arial"/>
        </w:rPr>
        <w:footnoteRef/>
      </w:r>
      <w:r w:rsidRPr="00834BA3">
        <w:rPr>
          <w:rFonts w:ascii="Arial" w:hAnsi="Arial" w:cs="Arial"/>
        </w:rPr>
        <w:t xml:space="preserve"> Jodi Gardner “High-cost credit in the UK: A philosophical justification for intervention” in Karen Fairweather, Paul O’Shea and Ross Grantham </w:t>
      </w:r>
      <w:r w:rsidRPr="00834BA3">
        <w:rPr>
          <w:rFonts w:ascii="Arial" w:hAnsi="Arial" w:cs="Arial"/>
          <w:i/>
          <w:iCs/>
        </w:rPr>
        <w:t xml:space="preserve">Credit, Consumers and the Law </w:t>
      </w:r>
      <w:r w:rsidRPr="00834BA3">
        <w:rPr>
          <w:rFonts w:ascii="Arial" w:hAnsi="Arial" w:cs="Arial"/>
        </w:rPr>
        <w:t>(Routledge, London, 2016) 132 at 143-144.</w:t>
      </w:r>
    </w:p>
  </w:footnote>
  <w:footnote w:id="190">
    <w:p w14:paraId="75CF6CEC" w14:textId="77777777" w:rsidR="00CC7EB4" w:rsidRPr="00834BA3" w:rsidRDefault="00CC7EB4" w:rsidP="00CC7EB4">
      <w:pPr>
        <w:pStyle w:val="FootnoteText"/>
        <w:rPr>
          <w:rFonts w:ascii="Arial" w:hAnsi="Arial" w:cs="Arial"/>
          <w:lang w:val="en-US"/>
        </w:rPr>
      </w:pPr>
      <w:r w:rsidRPr="00834BA3">
        <w:rPr>
          <w:rStyle w:val="FootnoteReference"/>
          <w:rFonts w:ascii="Arial" w:hAnsi="Arial" w:cs="Arial"/>
        </w:rPr>
        <w:footnoteRef/>
      </w:r>
      <w:r w:rsidRPr="00834BA3">
        <w:rPr>
          <w:rFonts w:ascii="Arial" w:hAnsi="Arial" w:cs="Arial"/>
        </w:rPr>
        <w:t xml:space="preserve"> Chunlin Leonhard, above n </w:t>
      </w:r>
      <w:r>
        <w:rPr>
          <w:rFonts w:ascii="Arial" w:hAnsi="Arial" w:cs="Arial"/>
        </w:rPr>
        <w:t>4,</w:t>
      </w:r>
      <w:r w:rsidRPr="00834BA3">
        <w:rPr>
          <w:rFonts w:ascii="Arial" w:hAnsi="Arial" w:cs="Arial"/>
        </w:rPr>
        <w:t xml:space="preserve"> at 66.</w:t>
      </w:r>
    </w:p>
  </w:footnote>
  <w:footnote w:id="191">
    <w:p w14:paraId="31928EB3" w14:textId="77777777" w:rsidR="00CC7EB4" w:rsidRPr="00834BA3" w:rsidRDefault="00CC7EB4" w:rsidP="00CC7EB4">
      <w:pPr>
        <w:pStyle w:val="FootnoteText"/>
        <w:rPr>
          <w:rFonts w:ascii="Arial" w:hAnsi="Arial" w:cs="Arial"/>
          <w:lang w:val="en-US"/>
        </w:rPr>
      </w:pPr>
      <w:r w:rsidRPr="00834BA3">
        <w:rPr>
          <w:rStyle w:val="FootnoteReference"/>
          <w:rFonts w:ascii="Arial" w:hAnsi="Arial" w:cs="Arial"/>
        </w:rPr>
        <w:footnoteRef/>
      </w:r>
      <w:r w:rsidRPr="00834BA3">
        <w:rPr>
          <w:rFonts w:ascii="Arial" w:hAnsi="Arial" w:cs="Arial"/>
        </w:rPr>
        <w:t xml:space="preserve"> </w:t>
      </w:r>
      <w:r w:rsidRPr="00834BA3">
        <w:rPr>
          <w:rFonts w:ascii="Arial" w:hAnsi="Arial" w:cs="Arial"/>
          <w:lang w:val="en-US"/>
        </w:rPr>
        <w:t>Rob Nicholls “Informed Consent to Online Standard Form Agreements” (2022) 3 GPLR 163 at 163.</w:t>
      </w:r>
    </w:p>
  </w:footnote>
  <w:footnote w:id="192">
    <w:p w14:paraId="5E793155" w14:textId="77777777" w:rsidR="00CC7EB4" w:rsidRPr="00834BA3" w:rsidRDefault="00CC7EB4" w:rsidP="00CC7EB4">
      <w:pPr>
        <w:pStyle w:val="FootnoteText"/>
        <w:rPr>
          <w:rFonts w:ascii="Arial" w:hAnsi="Arial" w:cs="Arial"/>
          <w:lang w:val="en-US"/>
        </w:rPr>
      </w:pPr>
      <w:r w:rsidRPr="00834BA3">
        <w:rPr>
          <w:rStyle w:val="FootnoteReference"/>
          <w:rFonts w:ascii="Arial" w:hAnsi="Arial" w:cs="Arial"/>
        </w:rPr>
        <w:footnoteRef/>
      </w:r>
      <w:r w:rsidRPr="00834BA3">
        <w:rPr>
          <w:rFonts w:ascii="Arial" w:hAnsi="Arial" w:cs="Arial"/>
        </w:rPr>
        <w:t xml:space="preserve"> Orit Gan, above n </w:t>
      </w:r>
      <w:r>
        <w:rPr>
          <w:rFonts w:ascii="Arial" w:hAnsi="Arial" w:cs="Arial"/>
        </w:rPr>
        <w:t xml:space="preserve">184, </w:t>
      </w:r>
      <w:r w:rsidRPr="00834BA3">
        <w:rPr>
          <w:rFonts w:ascii="Arial" w:hAnsi="Arial" w:cs="Arial"/>
          <w:lang w:val="en-US"/>
        </w:rPr>
        <w:t>at 13.</w:t>
      </w:r>
    </w:p>
  </w:footnote>
  <w:footnote w:id="193">
    <w:p w14:paraId="6A666E95" w14:textId="77777777" w:rsidR="00CC7EB4" w:rsidRPr="00834BA3" w:rsidRDefault="00CC7EB4" w:rsidP="00CC7EB4">
      <w:pPr>
        <w:pStyle w:val="FootnoteText"/>
        <w:rPr>
          <w:rFonts w:ascii="Arial" w:hAnsi="Arial" w:cs="Arial"/>
          <w:lang w:val="en-US"/>
        </w:rPr>
      </w:pPr>
      <w:r w:rsidRPr="00834BA3">
        <w:rPr>
          <w:rStyle w:val="FootnoteReference"/>
          <w:rFonts w:ascii="Arial" w:hAnsi="Arial" w:cs="Arial"/>
        </w:rPr>
        <w:footnoteRef/>
      </w:r>
      <w:r w:rsidRPr="00834BA3">
        <w:rPr>
          <w:rFonts w:ascii="Arial" w:hAnsi="Arial" w:cs="Arial"/>
        </w:rPr>
        <w:t xml:space="preserve"> Bespoke contract is a term used by Margaret Radin to describe the archetypal </w:t>
      </w:r>
      <w:r>
        <w:rPr>
          <w:rFonts w:ascii="Arial" w:hAnsi="Arial" w:cs="Arial"/>
        </w:rPr>
        <w:t>commercial</w:t>
      </w:r>
      <w:r w:rsidRPr="00834BA3">
        <w:rPr>
          <w:rFonts w:ascii="Arial" w:hAnsi="Arial" w:cs="Arial"/>
        </w:rPr>
        <w:t xml:space="preserve"> contract negotiated between two parties.</w:t>
      </w:r>
    </w:p>
  </w:footnote>
  <w:footnote w:id="194">
    <w:p w14:paraId="76AD28C3" w14:textId="77777777" w:rsidR="00CC7EB4" w:rsidRPr="00834BA3" w:rsidRDefault="00CC7EB4" w:rsidP="00CC7EB4">
      <w:pPr>
        <w:pStyle w:val="FootnoteText"/>
        <w:rPr>
          <w:rFonts w:ascii="Arial" w:hAnsi="Arial" w:cs="Arial"/>
          <w:lang w:val="en-US"/>
        </w:rPr>
      </w:pPr>
      <w:r w:rsidRPr="00834BA3">
        <w:rPr>
          <w:rStyle w:val="FootnoteReference"/>
          <w:rFonts w:ascii="Arial" w:hAnsi="Arial" w:cs="Arial"/>
        </w:rPr>
        <w:footnoteRef/>
      </w:r>
      <w:r w:rsidRPr="00834BA3">
        <w:rPr>
          <w:rFonts w:ascii="Arial" w:hAnsi="Arial" w:cs="Arial"/>
        </w:rPr>
        <w:t xml:space="preserve"> Chunlin Leonhard, above n </w:t>
      </w:r>
      <w:r>
        <w:rPr>
          <w:rFonts w:ascii="Arial" w:hAnsi="Arial" w:cs="Arial"/>
        </w:rPr>
        <w:t>4,</w:t>
      </w:r>
      <w:r w:rsidRPr="00834BA3">
        <w:rPr>
          <w:rFonts w:ascii="Arial" w:hAnsi="Arial" w:cs="Arial"/>
        </w:rPr>
        <w:t xml:space="preserve"> at 82.</w:t>
      </w:r>
    </w:p>
  </w:footnote>
  <w:footnote w:id="195">
    <w:p w14:paraId="6C01AA7D" w14:textId="77777777" w:rsidR="00CC7EB4" w:rsidRPr="00834BA3" w:rsidRDefault="00CC7EB4" w:rsidP="00CC7EB4">
      <w:pPr>
        <w:pStyle w:val="NormalWeb"/>
        <w:spacing w:before="0" w:beforeAutospacing="0" w:after="0" w:afterAutospacing="0"/>
        <w:rPr>
          <w:rFonts w:ascii="Arial" w:hAnsi="Arial" w:cs="Arial"/>
          <w:sz w:val="20"/>
          <w:szCs w:val="20"/>
        </w:rPr>
      </w:pPr>
      <w:r w:rsidRPr="00834BA3">
        <w:rPr>
          <w:rStyle w:val="FootnoteReference"/>
          <w:rFonts w:ascii="Arial" w:hAnsi="Arial" w:cs="Arial"/>
          <w:sz w:val="20"/>
          <w:szCs w:val="20"/>
        </w:rPr>
        <w:footnoteRef/>
      </w:r>
      <w:r w:rsidRPr="00834BA3">
        <w:rPr>
          <w:rFonts w:ascii="Arial" w:hAnsi="Arial" w:cs="Arial"/>
          <w:sz w:val="20"/>
          <w:szCs w:val="20"/>
        </w:rPr>
        <w:t xml:space="preserve"> </w:t>
      </w:r>
      <w:r w:rsidRPr="00834BA3">
        <w:rPr>
          <w:rFonts w:ascii="Arial" w:hAnsi="Arial" w:cs="Arial"/>
          <w:color w:val="000000"/>
          <w:sz w:val="20"/>
          <w:szCs w:val="20"/>
        </w:rPr>
        <w:t xml:space="preserve">Schwartz and Wilde, above n </w:t>
      </w:r>
      <w:r>
        <w:rPr>
          <w:rFonts w:ascii="Arial" w:hAnsi="Arial" w:cs="Arial"/>
          <w:color w:val="000000"/>
          <w:sz w:val="20"/>
          <w:szCs w:val="20"/>
        </w:rPr>
        <w:t>183</w:t>
      </w:r>
      <w:r w:rsidRPr="00834BA3">
        <w:rPr>
          <w:rFonts w:ascii="Arial" w:hAnsi="Arial" w:cs="Arial"/>
          <w:color w:val="000000"/>
          <w:sz w:val="20"/>
          <w:szCs w:val="20"/>
        </w:rPr>
        <w:t xml:space="preserve">. </w:t>
      </w:r>
    </w:p>
  </w:footnote>
  <w:footnote w:id="196">
    <w:p w14:paraId="16F65B99" w14:textId="77777777" w:rsidR="00CC7EB4" w:rsidRPr="002C7D1B"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Bakos, Marotta-Wurgler and Trossen, above n 3, at 3. </w:t>
      </w:r>
    </w:p>
  </w:footnote>
  <w:footnote w:id="197">
    <w:p w14:paraId="0424BC80" w14:textId="77777777" w:rsidR="00CC7EB4" w:rsidRPr="002C7D1B"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At 3.</w:t>
      </w:r>
    </w:p>
  </w:footnote>
  <w:footnote w:id="198">
    <w:p w14:paraId="10602BA8" w14:textId="77777777" w:rsidR="00CC7EB4" w:rsidRPr="002C7D1B"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At 3.</w:t>
      </w:r>
    </w:p>
  </w:footnote>
  <w:footnote w:id="199">
    <w:p w14:paraId="54778580" w14:textId="77777777" w:rsidR="00CC7EB4" w:rsidRPr="002C7D1B"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w:t>
      </w:r>
      <w:r w:rsidRPr="002C7D1B">
        <w:rPr>
          <w:rFonts w:ascii="Arial" w:hAnsi="Arial" w:cs="Arial"/>
          <w:lang w:val="en-US"/>
        </w:rPr>
        <w:t>Nicholls, above n 19</w:t>
      </w:r>
      <w:r>
        <w:rPr>
          <w:rFonts w:ascii="Arial" w:hAnsi="Arial" w:cs="Arial"/>
          <w:lang w:val="en-US"/>
        </w:rPr>
        <w:t>1</w:t>
      </w:r>
      <w:r w:rsidRPr="002C7D1B">
        <w:rPr>
          <w:rFonts w:ascii="Arial" w:hAnsi="Arial" w:cs="Arial"/>
          <w:lang w:val="en-US"/>
        </w:rPr>
        <w:t>, at 169.</w:t>
      </w:r>
    </w:p>
  </w:footnote>
  <w:footnote w:id="200">
    <w:p w14:paraId="0849658E" w14:textId="77777777" w:rsidR="00CC7EB4" w:rsidRPr="002C7D1B"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w:t>
      </w:r>
      <w:r w:rsidRPr="002C7D1B">
        <w:rPr>
          <w:rFonts w:ascii="Arial" w:hAnsi="Arial" w:cs="Arial"/>
          <w:lang w:val="en-US"/>
        </w:rPr>
        <w:t>At 169.</w:t>
      </w:r>
    </w:p>
  </w:footnote>
  <w:footnote w:id="201">
    <w:p w14:paraId="02C9BB34" w14:textId="77777777" w:rsidR="00CC7EB4" w:rsidRPr="002C7D1B"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At 169.</w:t>
      </w:r>
    </w:p>
  </w:footnote>
  <w:footnote w:id="202">
    <w:p w14:paraId="101F595D" w14:textId="77777777" w:rsidR="00CC7EB4" w:rsidRPr="002C7D1B"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Neil Richards and Woodrow Hartzog “The Pathologies of Digital Consent” (2019) 96 Wash. U. L. Rev. 1461 at 1465.</w:t>
      </w:r>
    </w:p>
  </w:footnote>
  <w:footnote w:id="203">
    <w:p w14:paraId="1DB4035B" w14:textId="77777777" w:rsidR="00CC7EB4" w:rsidRPr="002C7D1B"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w:t>
      </w:r>
      <w:r w:rsidRPr="002C7D1B">
        <w:rPr>
          <w:rFonts w:ascii="Arial" w:hAnsi="Arial" w:cs="Arial"/>
          <w:lang w:val="en-US"/>
        </w:rPr>
        <w:t>At 1488.</w:t>
      </w:r>
    </w:p>
  </w:footnote>
  <w:footnote w:id="204">
    <w:p w14:paraId="1DF177E0" w14:textId="77777777" w:rsidR="00CC7EB4" w:rsidRPr="00912CF5"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Cherie Lacey and Alex Beattie “Websites using ‘dark patterns’ to manipulate users – is it time to regulate?” (15 October 2021) RNZ </w:t>
      </w:r>
      <w:hyperlink r:id="rId4" w:history="1">
        <w:r w:rsidRPr="002C7D1B">
          <w:rPr>
            <w:rStyle w:val="Hyperlink"/>
            <w:rFonts w:ascii="Arial" w:hAnsi="Arial" w:cs="Arial"/>
          </w:rPr>
          <w:t>www.rnz.co.nz</w:t>
        </w:r>
      </w:hyperlink>
      <w:r w:rsidRPr="002C7D1B">
        <w:rPr>
          <w:rFonts w:ascii="Arial" w:hAnsi="Arial" w:cs="Arial"/>
        </w:rPr>
        <w:t>.</w:t>
      </w:r>
    </w:p>
  </w:footnote>
  <w:footnote w:id="205">
    <w:p w14:paraId="5390A098" w14:textId="77777777" w:rsidR="00CC7EB4" w:rsidRPr="002C7D1B"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Deceptive Patterns “Types of deceptive pattern” </w:t>
      </w:r>
      <w:hyperlink r:id="rId5" w:history="1">
        <w:r w:rsidRPr="002C7D1B">
          <w:rPr>
            <w:rStyle w:val="Hyperlink"/>
            <w:rFonts w:ascii="Arial" w:hAnsi="Arial" w:cs="Arial"/>
          </w:rPr>
          <w:t>www.deceptive.design</w:t>
        </w:r>
      </w:hyperlink>
      <w:r w:rsidRPr="002C7D1B">
        <w:rPr>
          <w:rFonts w:ascii="Arial" w:hAnsi="Arial" w:cs="Arial"/>
        </w:rPr>
        <w:t>.</w:t>
      </w:r>
    </w:p>
  </w:footnote>
  <w:footnote w:id="206">
    <w:p w14:paraId="6E6DC759" w14:textId="77777777" w:rsidR="00CC7EB4" w:rsidRPr="002C7D1B"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Deceptive Patterns, above n 20</w:t>
      </w:r>
      <w:r>
        <w:rPr>
          <w:rFonts w:ascii="Arial" w:hAnsi="Arial" w:cs="Arial"/>
        </w:rPr>
        <w:t>5</w:t>
      </w:r>
      <w:r w:rsidRPr="002C7D1B">
        <w:rPr>
          <w:rFonts w:ascii="Arial" w:hAnsi="Arial" w:cs="Arial"/>
        </w:rPr>
        <w:t>.</w:t>
      </w:r>
    </w:p>
  </w:footnote>
  <w:footnote w:id="207">
    <w:p w14:paraId="0485A343" w14:textId="77777777" w:rsidR="00CC7EB4" w:rsidRPr="002C7D1B"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Deceptive Patterns, above n 20</w:t>
      </w:r>
      <w:r>
        <w:rPr>
          <w:rFonts w:ascii="Arial" w:hAnsi="Arial" w:cs="Arial"/>
        </w:rPr>
        <w:t>5</w:t>
      </w:r>
      <w:r w:rsidRPr="002C7D1B">
        <w:rPr>
          <w:rFonts w:ascii="Arial" w:hAnsi="Arial" w:cs="Arial"/>
        </w:rPr>
        <w:t>.</w:t>
      </w:r>
    </w:p>
  </w:footnote>
  <w:footnote w:id="208">
    <w:p w14:paraId="15D4F378" w14:textId="77777777" w:rsidR="00CC7EB4" w:rsidRPr="002C7D1B"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w:t>
      </w:r>
      <w:r w:rsidRPr="002C7D1B">
        <w:rPr>
          <w:rFonts w:ascii="Arial" w:hAnsi="Arial" w:cs="Arial"/>
          <w:lang w:val="en-US"/>
        </w:rPr>
        <w:t>Jamie Luguri and and Lior Jacob Strahilevitz “Shining a Light on Dark Patterns” (2021) 13 Journal of Legal Analysis 43 at 64.</w:t>
      </w:r>
    </w:p>
  </w:footnote>
  <w:footnote w:id="209">
    <w:p w14:paraId="258D09ED" w14:textId="77777777" w:rsidR="00CC7EB4" w:rsidRPr="002C7D1B"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Edward S. Herman and Noam Chomsky </w:t>
      </w:r>
      <w:r w:rsidRPr="002C7D1B">
        <w:rPr>
          <w:rFonts w:ascii="Arial" w:hAnsi="Arial" w:cs="Arial"/>
          <w:i/>
          <w:iCs/>
          <w:lang w:val="en-US"/>
        </w:rPr>
        <w:t xml:space="preserve">Manufacturing Consent: The Political Economy of the Mass Media </w:t>
      </w:r>
      <w:r w:rsidRPr="002C7D1B">
        <w:rPr>
          <w:rFonts w:ascii="Arial" w:hAnsi="Arial" w:cs="Arial"/>
          <w:lang w:val="en-US"/>
        </w:rPr>
        <w:t>(Pantheon Books, New York, 1988).</w:t>
      </w:r>
    </w:p>
  </w:footnote>
  <w:footnote w:id="210">
    <w:p w14:paraId="2EC29FF1" w14:textId="77777777" w:rsidR="00CC7EB4" w:rsidRPr="002C7D1B" w:rsidRDefault="00CC7EB4" w:rsidP="00CC7EB4">
      <w:pPr>
        <w:pStyle w:val="FootnoteText"/>
        <w:rPr>
          <w:rFonts w:ascii="Arial" w:hAnsi="Arial" w:cs="Arial"/>
        </w:rPr>
      </w:pPr>
      <w:r w:rsidRPr="002C7D1B">
        <w:rPr>
          <w:rFonts w:ascii="Arial" w:hAnsi="Arial" w:cs="Arial"/>
          <w:vertAlign w:val="superscript"/>
        </w:rPr>
        <w:footnoteRef/>
      </w:r>
      <w:r w:rsidRPr="002C7D1B">
        <w:rPr>
          <w:rFonts w:ascii="Arial" w:hAnsi="Arial" w:cs="Arial"/>
          <w:vertAlign w:val="superscript"/>
        </w:rPr>
        <w:t xml:space="preserve"> </w:t>
      </w:r>
      <w:r w:rsidRPr="002C7D1B">
        <w:rPr>
          <w:rFonts w:ascii="Arial" w:hAnsi="Arial" w:cs="Arial"/>
        </w:rPr>
        <w:t>Luguri and Strahilevitz, above n 2</w:t>
      </w:r>
      <w:r>
        <w:rPr>
          <w:rFonts w:ascii="Arial" w:hAnsi="Arial" w:cs="Arial"/>
        </w:rPr>
        <w:t>08</w:t>
      </w:r>
      <w:r w:rsidRPr="002C7D1B">
        <w:rPr>
          <w:rFonts w:ascii="Arial" w:hAnsi="Arial" w:cs="Arial"/>
        </w:rPr>
        <w:t>, at 46.</w:t>
      </w:r>
    </w:p>
  </w:footnote>
  <w:footnote w:id="211">
    <w:p w14:paraId="7B7EA807" w14:textId="77777777" w:rsidR="00CC7EB4" w:rsidRPr="00F11B81"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w:t>
      </w:r>
      <w:r w:rsidRPr="002C7D1B">
        <w:rPr>
          <w:rFonts w:ascii="Arial" w:hAnsi="Arial" w:cs="Arial"/>
          <w:lang w:val="en-US"/>
        </w:rPr>
        <w:t>This author recognises the laws against misrepresentation (see, for example, Fair Trading Act 1986, s 13).</w:t>
      </w:r>
    </w:p>
  </w:footnote>
  <w:footnote w:id="212">
    <w:p w14:paraId="45011FAF" w14:textId="77777777" w:rsidR="00CC7EB4" w:rsidRPr="002C7D1B" w:rsidRDefault="00CC7EB4" w:rsidP="00CC7EB4">
      <w:pPr>
        <w:pStyle w:val="NormalWeb"/>
        <w:spacing w:before="0" w:beforeAutospacing="0" w:after="0" w:afterAutospacing="0"/>
        <w:rPr>
          <w:rFonts w:ascii="Arial" w:hAnsi="Arial" w:cs="Arial"/>
          <w:sz w:val="20"/>
          <w:szCs w:val="20"/>
        </w:rPr>
      </w:pPr>
      <w:r w:rsidRPr="002C7D1B">
        <w:rPr>
          <w:rFonts w:ascii="Arial" w:hAnsi="Arial" w:cs="Arial"/>
          <w:sz w:val="20"/>
          <w:szCs w:val="20"/>
          <w:vertAlign w:val="superscript"/>
        </w:rPr>
        <w:footnoteRef/>
      </w:r>
      <w:r w:rsidRPr="002C7D1B">
        <w:rPr>
          <w:rFonts w:ascii="Arial" w:hAnsi="Arial" w:cs="Arial"/>
          <w:sz w:val="20"/>
          <w:szCs w:val="20"/>
          <w:vertAlign w:val="superscript"/>
        </w:rPr>
        <w:t xml:space="preserve"> ‘</w:t>
      </w:r>
      <w:r w:rsidRPr="002C7D1B">
        <w:rPr>
          <w:rFonts w:ascii="Arial" w:hAnsi="Arial" w:cs="Arial"/>
          <w:sz w:val="20"/>
          <w:szCs w:val="20"/>
        </w:rPr>
        <w:t xml:space="preserve">Douglas G Baird, ‘The Boilerplate Puzzle’ (2006) 104 </w:t>
      </w:r>
      <w:r>
        <w:rPr>
          <w:rFonts w:ascii="Arial" w:hAnsi="Arial" w:cs="Arial"/>
          <w:sz w:val="20"/>
          <w:szCs w:val="20"/>
        </w:rPr>
        <w:t>Mich.L.Rev.</w:t>
      </w:r>
      <w:r w:rsidRPr="002C7D1B">
        <w:rPr>
          <w:rFonts w:ascii="Arial" w:hAnsi="Arial" w:cs="Arial"/>
          <w:sz w:val="20"/>
          <w:szCs w:val="20"/>
        </w:rPr>
        <w:t xml:space="preserve"> 933, 935–6 – citing Michael J Trebilcock </w:t>
      </w:r>
      <w:r w:rsidRPr="00E22A01">
        <w:rPr>
          <w:rFonts w:ascii="Arial" w:hAnsi="Arial" w:cs="Arial"/>
          <w:i/>
          <w:iCs/>
          <w:sz w:val="20"/>
          <w:szCs w:val="20"/>
        </w:rPr>
        <w:t>The Limits of Freedom of Contract</w:t>
      </w:r>
      <w:r>
        <w:rPr>
          <w:rFonts w:ascii="Arial" w:hAnsi="Arial" w:cs="Arial"/>
          <w:sz w:val="20"/>
          <w:szCs w:val="20"/>
        </w:rPr>
        <w:t xml:space="preserve"> </w:t>
      </w:r>
      <w:r w:rsidRPr="002C7D1B">
        <w:rPr>
          <w:rFonts w:ascii="Arial" w:hAnsi="Arial" w:cs="Arial"/>
          <w:sz w:val="20"/>
          <w:szCs w:val="20"/>
        </w:rPr>
        <w:t>(</w:t>
      </w:r>
      <w:r>
        <w:rPr>
          <w:rFonts w:ascii="Arial" w:hAnsi="Arial" w:cs="Arial"/>
          <w:sz w:val="20"/>
          <w:szCs w:val="20"/>
        </w:rPr>
        <w:t xml:space="preserve">Harvard University Press, </w:t>
      </w:r>
      <w:r w:rsidRPr="002C7D1B">
        <w:rPr>
          <w:rFonts w:ascii="Arial" w:hAnsi="Arial" w:cs="Arial"/>
          <w:sz w:val="20"/>
          <w:szCs w:val="20"/>
        </w:rPr>
        <w:t xml:space="preserve">1993) 79. </w:t>
      </w:r>
    </w:p>
  </w:footnote>
  <w:footnote w:id="213">
    <w:p w14:paraId="57296240" w14:textId="77777777" w:rsidR="00CC7EB4" w:rsidRPr="002C7D1B"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w:t>
      </w:r>
      <w:r w:rsidRPr="002C7D1B">
        <w:rPr>
          <w:rFonts w:ascii="Arial" w:hAnsi="Arial" w:cs="Arial"/>
          <w:lang w:val="en-US"/>
        </w:rPr>
        <w:t xml:space="preserve">Gardner, above n </w:t>
      </w:r>
      <w:r>
        <w:rPr>
          <w:rFonts w:ascii="Arial" w:hAnsi="Arial" w:cs="Arial"/>
          <w:lang w:val="en-US"/>
        </w:rPr>
        <w:t>189</w:t>
      </w:r>
      <w:r w:rsidRPr="002C7D1B">
        <w:rPr>
          <w:rFonts w:ascii="Arial" w:hAnsi="Arial" w:cs="Arial"/>
          <w:lang w:val="en-US"/>
        </w:rPr>
        <w:t>, at 143.</w:t>
      </w:r>
    </w:p>
  </w:footnote>
  <w:footnote w:id="214">
    <w:p w14:paraId="69AB1DBE" w14:textId="77777777" w:rsidR="00CC7EB4" w:rsidRPr="002C7D1B" w:rsidRDefault="00CC7EB4" w:rsidP="00CC7EB4">
      <w:pPr>
        <w:pStyle w:val="FootnoteText"/>
        <w:rPr>
          <w:rFonts w:ascii="Arial" w:hAnsi="Arial" w:cs="Arial"/>
        </w:rPr>
      </w:pPr>
      <w:r w:rsidRPr="002C7D1B">
        <w:rPr>
          <w:rStyle w:val="FootnoteReference"/>
          <w:rFonts w:ascii="Arial" w:hAnsi="Arial" w:cs="Arial"/>
        </w:rPr>
        <w:footnoteRef/>
      </w:r>
      <w:r w:rsidRPr="002C7D1B">
        <w:rPr>
          <w:rFonts w:ascii="Arial" w:hAnsi="Arial" w:cs="Arial"/>
        </w:rPr>
        <w:t xml:space="preserve"> Free will has parallels in its elusiveness: see, for example, Timothy O’Connor and Christopher Franklin “Free Will” (Winter 2022) The Stanford</w:t>
      </w:r>
      <w:r w:rsidRPr="002C7D1B">
        <w:rPr>
          <w:rFonts w:ascii="Arial" w:hAnsi="Arial" w:cs="Arial"/>
          <w:i/>
          <w:iCs/>
        </w:rPr>
        <w:t xml:space="preserve"> </w:t>
      </w:r>
      <w:r w:rsidRPr="002C7D1B">
        <w:rPr>
          <w:rFonts w:ascii="Arial" w:hAnsi="Arial" w:cs="Arial"/>
        </w:rPr>
        <w:t xml:space="preserve">Encyclopedia of Philosophy </w:t>
      </w:r>
      <w:hyperlink r:id="rId6" w:history="1">
        <w:r w:rsidRPr="002C7D1B">
          <w:rPr>
            <w:rStyle w:val="Hyperlink"/>
            <w:rFonts w:ascii="Arial" w:hAnsi="Arial" w:cs="Arial"/>
          </w:rPr>
          <w:t>https://plato.stanford.edu/index.html</w:t>
        </w:r>
      </w:hyperlink>
      <w:r w:rsidRPr="002C7D1B">
        <w:rPr>
          <w:rFonts w:ascii="Arial" w:hAnsi="Arial" w:cs="Arial"/>
        </w:rPr>
        <w:t>.</w:t>
      </w:r>
    </w:p>
  </w:footnote>
  <w:footnote w:id="215">
    <w:p w14:paraId="64A102D3" w14:textId="77777777" w:rsidR="00CC7EB4" w:rsidRPr="002C7D1B"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Radin, above n 16, at 2.</w:t>
      </w:r>
    </w:p>
  </w:footnote>
  <w:footnote w:id="216">
    <w:p w14:paraId="0FF63BB6" w14:textId="77777777" w:rsidR="00CC7EB4" w:rsidRPr="00771751"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w:t>
      </w:r>
      <w:r w:rsidRPr="002C7D1B">
        <w:rPr>
          <w:rFonts w:ascii="Arial" w:hAnsi="Arial" w:cs="Arial"/>
          <w:lang w:val="en-US"/>
        </w:rPr>
        <w:t xml:space="preserve">Louis D. Brandeis “What Publicity Can Do” </w:t>
      </w:r>
      <w:r w:rsidRPr="002C7D1B">
        <w:rPr>
          <w:rFonts w:ascii="Arial" w:hAnsi="Arial" w:cs="Arial"/>
          <w:i/>
          <w:iCs/>
          <w:lang w:val="en-US"/>
        </w:rPr>
        <w:t xml:space="preserve">Harper’s Weekly </w:t>
      </w:r>
      <w:r w:rsidRPr="002C7D1B">
        <w:rPr>
          <w:rFonts w:ascii="Arial" w:hAnsi="Arial" w:cs="Arial"/>
          <w:lang w:val="en-US"/>
        </w:rPr>
        <w:t>(New York City, December 20 1913) at 10.</w:t>
      </w:r>
    </w:p>
  </w:footnote>
  <w:footnote w:id="217">
    <w:p w14:paraId="745D6D89" w14:textId="77777777" w:rsidR="00CC7EB4" w:rsidRPr="00AB0993" w:rsidRDefault="00CC7EB4" w:rsidP="00CC7EB4">
      <w:pPr>
        <w:pStyle w:val="FootnoteText"/>
        <w:rPr>
          <w:rFonts w:ascii="Arial" w:hAnsi="Arial" w:cs="Arial"/>
          <w:lang w:val="en-US"/>
        </w:rPr>
      </w:pPr>
      <w:r w:rsidRPr="00771751">
        <w:rPr>
          <w:rStyle w:val="FootnoteReference"/>
          <w:rFonts w:ascii="Arial" w:hAnsi="Arial" w:cs="Arial"/>
        </w:rPr>
        <w:footnoteRef/>
      </w:r>
      <w:r w:rsidRPr="00771751">
        <w:rPr>
          <w:rFonts w:ascii="Arial" w:hAnsi="Arial" w:cs="Arial"/>
        </w:rPr>
        <w:t xml:space="preserve"> Regulation 2016/679 General Data Protection Regulation (need publication details), at Recital 58.</w:t>
      </w:r>
    </w:p>
  </w:footnote>
  <w:footnote w:id="218">
    <w:p w14:paraId="3F40185B" w14:textId="77777777" w:rsidR="00CC7EB4" w:rsidRPr="00AB0993" w:rsidRDefault="00CC7EB4" w:rsidP="00CC7EB4">
      <w:pPr>
        <w:pStyle w:val="FootnoteText"/>
        <w:rPr>
          <w:rFonts w:ascii="Arial" w:hAnsi="Arial" w:cs="Arial"/>
          <w:lang w:val="en-US"/>
        </w:rPr>
      </w:pPr>
      <w:r w:rsidRPr="00AB0993">
        <w:rPr>
          <w:rStyle w:val="FootnoteReference"/>
          <w:rFonts w:ascii="Arial" w:hAnsi="Arial" w:cs="Arial"/>
        </w:rPr>
        <w:footnoteRef/>
      </w:r>
      <w:r w:rsidRPr="00AB0993">
        <w:rPr>
          <w:rFonts w:ascii="Arial" w:hAnsi="Arial" w:cs="Arial"/>
        </w:rPr>
        <w:t xml:space="preserve"> Financial Markets Conduct Act 2013, s 49.</w:t>
      </w:r>
    </w:p>
  </w:footnote>
  <w:footnote w:id="219">
    <w:p w14:paraId="18F33101" w14:textId="77777777" w:rsidR="00CC7EB4" w:rsidRPr="00AB0993" w:rsidRDefault="00CC7EB4" w:rsidP="00CC7EB4">
      <w:pPr>
        <w:pStyle w:val="FootnoteText"/>
        <w:rPr>
          <w:rFonts w:ascii="Arial" w:hAnsi="Arial" w:cs="Arial"/>
          <w:lang w:val="en-US"/>
        </w:rPr>
      </w:pPr>
      <w:r w:rsidRPr="00AB0993">
        <w:rPr>
          <w:rStyle w:val="FootnoteReference"/>
          <w:rFonts w:ascii="Arial" w:hAnsi="Arial" w:cs="Arial"/>
        </w:rPr>
        <w:footnoteRef/>
      </w:r>
      <w:r w:rsidRPr="00AB0993">
        <w:rPr>
          <w:rFonts w:ascii="Arial" w:hAnsi="Arial" w:cs="Arial"/>
        </w:rPr>
        <w:t xml:space="preserve"> </w:t>
      </w:r>
      <w:r w:rsidRPr="00AB0993">
        <w:rPr>
          <w:rFonts w:ascii="Arial" w:hAnsi="Arial" w:cs="Arial"/>
          <w:lang w:val="en-US"/>
        </w:rPr>
        <w:t xml:space="preserve">Florencia Marotta-Wurgler, above n </w:t>
      </w:r>
      <w:r>
        <w:rPr>
          <w:rFonts w:ascii="Arial" w:hAnsi="Arial" w:cs="Arial"/>
          <w:lang w:val="en-US"/>
        </w:rPr>
        <w:t xml:space="preserve">167, </w:t>
      </w:r>
      <w:r w:rsidRPr="00AB0993">
        <w:rPr>
          <w:rFonts w:ascii="Arial" w:hAnsi="Arial" w:cs="Arial"/>
          <w:lang w:val="en-US"/>
        </w:rPr>
        <w:t>at 68</w:t>
      </w:r>
      <w:r>
        <w:rPr>
          <w:rFonts w:ascii="Arial" w:hAnsi="Arial" w:cs="Arial"/>
          <w:lang w:val="en-US"/>
        </w:rPr>
        <w:t>.</w:t>
      </w:r>
    </w:p>
  </w:footnote>
  <w:footnote w:id="220">
    <w:p w14:paraId="44ABB3F4" w14:textId="77777777" w:rsidR="00CC7EB4" w:rsidRPr="00AB0993" w:rsidRDefault="00CC7EB4" w:rsidP="00CC7EB4">
      <w:pPr>
        <w:pStyle w:val="FootnoteText"/>
        <w:rPr>
          <w:rFonts w:ascii="Arial" w:hAnsi="Arial" w:cs="Arial"/>
          <w:lang w:val="en-US"/>
        </w:rPr>
      </w:pPr>
      <w:r w:rsidRPr="00AB0993">
        <w:rPr>
          <w:rStyle w:val="FootnoteReference"/>
          <w:rFonts w:ascii="Arial" w:hAnsi="Arial" w:cs="Arial"/>
        </w:rPr>
        <w:footnoteRef/>
      </w:r>
      <w:r w:rsidRPr="00AB0993">
        <w:rPr>
          <w:rFonts w:ascii="Arial" w:hAnsi="Arial" w:cs="Arial"/>
        </w:rPr>
        <w:t xml:space="preserve"> Daniel W. Richards and Maryam Safari “Disclosure effectiveness in the financial planning industry” (2020) 13 QRFM 672 at 673.</w:t>
      </w:r>
    </w:p>
  </w:footnote>
  <w:footnote w:id="221">
    <w:p w14:paraId="0A236126" w14:textId="77777777" w:rsidR="00CC7EB4" w:rsidRPr="00AB0993" w:rsidRDefault="00CC7EB4" w:rsidP="00CC7EB4">
      <w:pPr>
        <w:pStyle w:val="FootnoteText"/>
        <w:rPr>
          <w:rFonts w:ascii="Arial" w:hAnsi="Arial" w:cs="Arial"/>
          <w:lang w:val="en-US"/>
        </w:rPr>
      </w:pPr>
      <w:r w:rsidRPr="00AB0993">
        <w:rPr>
          <w:rStyle w:val="FootnoteReference"/>
          <w:rFonts w:ascii="Arial" w:hAnsi="Arial" w:cs="Arial"/>
        </w:rPr>
        <w:footnoteRef/>
      </w:r>
      <w:r w:rsidRPr="00AB0993">
        <w:rPr>
          <w:rFonts w:ascii="Arial" w:hAnsi="Arial" w:cs="Arial"/>
        </w:rPr>
        <w:t xml:space="preserve"> At 673.</w:t>
      </w:r>
    </w:p>
  </w:footnote>
  <w:footnote w:id="222">
    <w:p w14:paraId="0A52A98D" w14:textId="77777777" w:rsidR="00CC7EB4" w:rsidRPr="00AB0993" w:rsidRDefault="00CC7EB4" w:rsidP="00CC7EB4">
      <w:pPr>
        <w:pStyle w:val="FootnoteText"/>
        <w:rPr>
          <w:rFonts w:ascii="Arial" w:hAnsi="Arial" w:cs="Arial"/>
          <w:lang w:val="en-US"/>
        </w:rPr>
      </w:pPr>
      <w:r w:rsidRPr="00AB0993">
        <w:rPr>
          <w:rStyle w:val="FootnoteReference"/>
          <w:rFonts w:ascii="Arial" w:hAnsi="Arial" w:cs="Arial"/>
        </w:rPr>
        <w:footnoteRef/>
      </w:r>
      <w:r w:rsidRPr="00AB0993">
        <w:rPr>
          <w:rFonts w:ascii="Arial" w:hAnsi="Arial" w:cs="Arial"/>
        </w:rPr>
        <w:t xml:space="preserve"> At 66.</w:t>
      </w:r>
    </w:p>
  </w:footnote>
  <w:footnote w:id="223">
    <w:p w14:paraId="203F4949" w14:textId="77777777" w:rsidR="00CC7EB4" w:rsidRPr="00AB0993" w:rsidRDefault="00CC7EB4" w:rsidP="00CC7EB4">
      <w:pPr>
        <w:pStyle w:val="FootnoteText"/>
        <w:rPr>
          <w:rFonts w:ascii="Arial" w:hAnsi="Arial" w:cs="Arial"/>
          <w:lang w:val="en-US"/>
        </w:rPr>
      </w:pPr>
      <w:r w:rsidRPr="00AB0993">
        <w:rPr>
          <w:rStyle w:val="FootnoteReference"/>
          <w:rFonts w:ascii="Arial" w:hAnsi="Arial" w:cs="Arial"/>
        </w:rPr>
        <w:footnoteRef/>
      </w:r>
      <w:r w:rsidRPr="00AB0993">
        <w:rPr>
          <w:rFonts w:ascii="Arial" w:hAnsi="Arial" w:cs="Arial"/>
        </w:rPr>
        <w:t xml:space="preserve"> </w:t>
      </w:r>
      <w:r>
        <w:rPr>
          <w:rFonts w:ascii="Arial" w:hAnsi="Arial" w:cs="Arial"/>
        </w:rPr>
        <w:t>See, for example, above n 167, at 2-3.</w:t>
      </w:r>
    </w:p>
  </w:footnote>
  <w:footnote w:id="224">
    <w:p w14:paraId="36EB3ECD" w14:textId="77777777" w:rsidR="00CC7EB4" w:rsidRPr="00DF1188" w:rsidRDefault="00CC7EB4" w:rsidP="00CC7EB4">
      <w:pPr>
        <w:pStyle w:val="FootnoteText"/>
        <w:rPr>
          <w:rFonts w:ascii="Arial" w:hAnsi="Arial" w:cs="Arial"/>
          <w:lang w:val="en-US"/>
        </w:rPr>
      </w:pPr>
      <w:r w:rsidRPr="00AB0993">
        <w:rPr>
          <w:rStyle w:val="FootnoteReference"/>
          <w:rFonts w:ascii="Arial" w:hAnsi="Arial" w:cs="Arial"/>
        </w:rPr>
        <w:footnoteRef/>
      </w:r>
      <w:r w:rsidRPr="00AB0993">
        <w:rPr>
          <w:rFonts w:ascii="Arial" w:hAnsi="Arial" w:cs="Arial"/>
        </w:rPr>
        <w:t xml:space="preserve"> Omri </w:t>
      </w:r>
      <w:r w:rsidRPr="00AB0993">
        <w:rPr>
          <w:rFonts w:ascii="Arial" w:hAnsi="Arial" w:cs="Arial"/>
          <w:lang w:val="en-US"/>
        </w:rPr>
        <w:t>Ben-</w:t>
      </w:r>
      <w:r>
        <w:rPr>
          <w:rFonts w:ascii="Arial" w:hAnsi="Arial" w:cs="Arial"/>
          <w:lang w:val="en-US"/>
        </w:rPr>
        <w:t>S</w:t>
      </w:r>
      <w:r w:rsidRPr="00AB0993">
        <w:rPr>
          <w:rFonts w:ascii="Arial" w:hAnsi="Arial" w:cs="Arial"/>
          <w:lang w:val="en-US"/>
        </w:rPr>
        <w:t>hahar and Carl E. Schneider “The Failure of Mandated Disclosure” (2011) 159 U. Pa. L. Rev. 647.</w:t>
      </w:r>
    </w:p>
  </w:footnote>
  <w:footnote w:id="225">
    <w:p w14:paraId="79D50AAC" w14:textId="77777777" w:rsidR="00CC7EB4" w:rsidRPr="00C7509D" w:rsidRDefault="00CC7EB4" w:rsidP="00CC7EB4">
      <w:pPr>
        <w:pStyle w:val="FootnoteText"/>
        <w:rPr>
          <w:rFonts w:ascii="Arial" w:hAnsi="Arial" w:cs="Arial"/>
          <w:lang w:val="en-US"/>
        </w:rPr>
      </w:pPr>
      <w:r w:rsidRPr="00C7509D">
        <w:rPr>
          <w:rStyle w:val="FootnoteReference"/>
          <w:rFonts w:ascii="Arial" w:hAnsi="Arial" w:cs="Arial"/>
        </w:rPr>
        <w:footnoteRef/>
      </w:r>
      <w:r w:rsidRPr="00C7509D">
        <w:rPr>
          <w:rFonts w:ascii="Arial" w:hAnsi="Arial" w:cs="Arial"/>
        </w:rPr>
        <w:t xml:space="preserve"> At </w:t>
      </w:r>
      <w:r>
        <w:rPr>
          <w:rFonts w:ascii="Arial" w:hAnsi="Arial" w:cs="Arial"/>
        </w:rPr>
        <w:t>704-727.</w:t>
      </w:r>
    </w:p>
  </w:footnote>
  <w:footnote w:id="226">
    <w:p w14:paraId="7D075E45" w14:textId="77777777" w:rsidR="00CC7EB4" w:rsidRPr="00C7509D" w:rsidRDefault="00CC7EB4" w:rsidP="00CC7EB4">
      <w:pPr>
        <w:pStyle w:val="FootnoteText"/>
        <w:rPr>
          <w:rFonts w:ascii="Arial" w:hAnsi="Arial" w:cs="Arial"/>
          <w:lang w:val="en-US"/>
        </w:rPr>
      </w:pPr>
      <w:r w:rsidRPr="00C7509D">
        <w:rPr>
          <w:rStyle w:val="FootnoteReference"/>
          <w:rFonts w:ascii="Arial" w:hAnsi="Arial" w:cs="Arial"/>
        </w:rPr>
        <w:footnoteRef/>
      </w:r>
      <w:r w:rsidRPr="00C7509D">
        <w:rPr>
          <w:rFonts w:ascii="Arial" w:hAnsi="Arial" w:cs="Arial"/>
        </w:rPr>
        <w:t xml:space="preserve"> </w:t>
      </w:r>
      <w:r w:rsidRPr="00C7509D">
        <w:rPr>
          <w:rFonts w:ascii="Arial" w:hAnsi="Arial" w:cs="Arial"/>
          <w:lang w:val="en-US"/>
        </w:rPr>
        <w:t>Aleecia M. McDonald and Lorrie Faith Cranor “The Cost of Reading Privacy Policies” (2008) 4 I/S: A Journal of Law and Policy for the Information Society 540 at 562.</w:t>
      </w:r>
    </w:p>
  </w:footnote>
  <w:footnote w:id="227">
    <w:p w14:paraId="1EB86B97" w14:textId="77777777" w:rsidR="00CC7EB4" w:rsidRPr="00C7509D" w:rsidRDefault="00CC7EB4" w:rsidP="00CC7EB4">
      <w:pPr>
        <w:pStyle w:val="FootnoteText"/>
        <w:rPr>
          <w:rFonts w:ascii="Arial" w:hAnsi="Arial" w:cs="Arial"/>
          <w:lang w:val="en-US"/>
        </w:rPr>
      </w:pPr>
      <w:r w:rsidRPr="00C7509D">
        <w:rPr>
          <w:rStyle w:val="FootnoteReference"/>
          <w:rFonts w:ascii="Arial" w:hAnsi="Arial" w:cs="Arial"/>
        </w:rPr>
        <w:footnoteRef/>
      </w:r>
      <w:r w:rsidRPr="00C7509D">
        <w:rPr>
          <w:rFonts w:ascii="Arial" w:hAnsi="Arial" w:cs="Arial"/>
        </w:rPr>
        <w:t xml:space="preserve"> At 705-709.</w:t>
      </w:r>
    </w:p>
  </w:footnote>
  <w:footnote w:id="228">
    <w:p w14:paraId="24043056" w14:textId="77777777" w:rsidR="00CC7EB4" w:rsidRPr="002C7D1B"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w:t>
      </w:r>
      <w:r w:rsidRPr="002C7D1B">
        <w:rPr>
          <w:rFonts w:ascii="Arial" w:hAnsi="Arial" w:cs="Arial"/>
          <w:lang w:val="en-US"/>
        </w:rPr>
        <w:t>At 705-709.</w:t>
      </w:r>
    </w:p>
  </w:footnote>
  <w:footnote w:id="229">
    <w:p w14:paraId="4FBF1AB9" w14:textId="77777777" w:rsidR="00CC7EB4" w:rsidRPr="002C7D1B"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At 708.</w:t>
      </w:r>
    </w:p>
  </w:footnote>
  <w:footnote w:id="230">
    <w:p w14:paraId="71710FFC" w14:textId="77777777" w:rsidR="00CC7EB4" w:rsidRPr="002C7D1B" w:rsidRDefault="00CC7EB4" w:rsidP="00CC7EB4">
      <w:pPr>
        <w:pStyle w:val="NormalWeb"/>
        <w:spacing w:before="0" w:beforeAutospacing="0" w:after="0" w:afterAutospacing="0"/>
        <w:rPr>
          <w:rFonts w:ascii="Arial" w:hAnsi="Arial" w:cs="Arial"/>
          <w:i/>
          <w:iCs/>
          <w:sz w:val="20"/>
          <w:szCs w:val="20"/>
        </w:rPr>
      </w:pPr>
      <w:r w:rsidRPr="002C7D1B">
        <w:rPr>
          <w:rStyle w:val="FootnoteReference"/>
          <w:rFonts w:ascii="Arial" w:hAnsi="Arial" w:cs="Arial"/>
          <w:sz w:val="20"/>
          <w:szCs w:val="20"/>
        </w:rPr>
        <w:footnoteRef/>
      </w:r>
      <w:r w:rsidRPr="002C7D1B">
        <w:rPr>
          <w:rFonts w:ascii="Arial" w:hAnsi="Arial" w:cs="Arial"/>
          <w:sz w:val="20"/>
          <w:szCs w:val="20"/>
        </w:rPr>
        <w:t xml:space="preserve"> John Edwards (in his capacity as Privacy Commissioner) “Click to consent? Not good enough anymore” (2 September 2019) Office of the Privacy Commissioner </w:t>
      </w:r>
      <w:hyperlink r:id="rId7" w:history="1">
        <w:r w:rsidRPr="002C7D1B">
          <w:rPr>
            <w:rStyle w:val="Hyperlink"/>
            <w:rFonts w:ascii="Arial" w:hAnsi="Arial" w:cs="Arial"/>
            <w:sz w:val="20"/>
            <w:szCs w:val="20"/>
          </w:rPr>
          <w:t>www.privacy.org.nz</w:t>
        </w:r>
      </w:hyperlink>
      <w:r w:rsidRPr="002C7D1B">
        <w:rPr>
          <w:rFonts w:ascii="Arial" w:hAnsi="Arial" w:cs="Arial"/>
          <w:sz w:val="20"/>
          <w:szCs w:val="20"/>
        </w:rPr>
        <w:t>.</w:t>
      </w:r>
    </w:p>
  </w:footnote>
  <w:footnote w:id="231">
    <w:p w14:paraId="197F1C27" w14:textId="77777777" w:rsidR="00CC7EB4" w:rsidRPr="002C7D1B"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Florencia Marotta-Wurgler “Does Contract Disclosure Matter?” (2012) 168 JITE 94 at 116.</w:t>
      </w:r>
    </w:p>
  </w:footnote>
  <w:footnote w:id="232">
    <w:p w14:paraId="3C67C355" w14:textId="77777777" w:rsidR="00CC7EB4" w:rsidRPr="002C7D1B"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At 67.</w:t>
      </w:r>
    </w:p>
  </w:footnote>
  <w:footnote w:id="233">
    <w:p w14:paraId="73BD7270" w14:textId="77777777" w:rsidR="00CC7EB4" w:rsidRPr="002C7D1B"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Marotta-Wurgler, above n </w:t>
      </w:r>
      <w:r>
        <w:rPr>
          <w:rFonts w:ascii="Arial" w:hAnsi="Arial" w:cs="Arial"/>
        </w:rPr>
        <w:t xml:space="preserve">231, </w:t>
      </w:r>
      <w:r w:rsidRPr="002C7D1B">
        <w:rPr>
          <w:rFonts w:ascii="Arial" w:hAnsi="Arial" w:cs="Arial"/>
        </w:rPr>
        <w:t>at 99.</w:t>
      </w:r>
    </w:p>
  </w:footnote>
  <w:footnote w:id="234">
    <w:p w14:paraId="45DC155E" w14:textId="77777777" w:rsidR="00CC7EB4" w:rsidRPr="00951DD2"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At 99.</w:t>
      </w:r>
    </w:p>
  </w:footnote>
  <w:footnote w:id="235">
    <w:p w14:paraId="272C9988" w14:textId="77777777" w:rsidR="00CC7EB4" w:rsidRPr="00E86DF3" w:rsidRDefault="00CC7EB4" w:rsidP="00CC7EB4">
      <w:pPr>
        <w:pStyle w:val="FootnoteText"/>
        <w:rPr>
          <w:rFonts w:ascii="Arial" w:hAnsi="Arial" w:cs="Arial"/>
          <w:lang w:val="en-US"/>
        </w:rPr>
      </w:pPr>
      <w:r w:rsidRPr="00E86DF3">
        <w:rPr>
          <w:rStyle w:val="FootnoteReference"/>
          <w:rFonts w:ascii="Arial" w:hAnsi="Arial" w:cs="Arial"/>
        </w:rPr>
        <w:footnoteRef/>
      </w:r>
      <w:r w:rsidRPr="00E86DF3">
        <w:rPr>
          <w:rFonts w:ascii="Arial" w:hAnsi="Arial" w:cs="Arial"/>
        </w:rPr>
        <w:t xml:space="preserve"> Edwards, above n </w:t>
      </w:r>
      <w:r>
        <w:rPr>
          <w:rFonts w:ascii="Arial" w:hAnsi="Arial" w:cs="Arial"/>
        </w:rPr>
        <w:t>230.</w:t>
      </w:r>
    </w:p>
  </w:footnote>
  <w:footnote w:id="236">
    <w:p w14:paraId="750ABCD6" w14:textId="77777777" w:rsidR="00CC7EB4" w:rsidRPr="00E86DF3" w:rsidRDefault="00CC7EB4" w:rsidP="00CC7EB4">
      <w:pPr>
        <w:pStyle w:val="FootnoteText"/>
        <w:rPr>
          <w:rFonts w:ascii="Arial" w:hAnsi="Arial" w:cs="Arial"/>
          <w:lang w:val="en-US"/>
        </w:rPr>
      </w:pPr>
      <w:r w:rsidRPr="00E86DF3">
        <w:rPr>
          <w:rStyle w:val="FootnoteReference"/>
          <w:rFonts w:ascii="Arial" w:hAnsi="Arial" w:cs="Arial"/>
        </w:rPr>
        <w:footnoteRef/>
      </w:r>
      <w:r w:rsidRPr="00E86DF3">
        <w:rPr>
          <w:rFonts w:ascii="Arial" w:hAnsi="Arial" w:cs="Arial"/>
        </w:rPr>
        <w:t xml:space="preserve"> Britton, above n</w:t>
      </w:r>
      <w:r>
        <w:rPr>
          <w:rFonts w:ascii="Arial" w:hAnsi="Arial" w:cs="Arial"/>
        </w:rPr>
        <w:t xml:space="preserve"> 164</w:t>
      </w:r>
      <w:r w:rsidRPr="00E86DF3">
        <w:rPr>
          <w:rFonts w:ascii="Arial" w:hAnsi="Arial" w:cs="Arial"/>
        </w:rPr>
        <w:t>, at 28-30.</w:t>
      </w:r>
    </w:p>
  </w:footnote>
  <w:footnote w:id="237">
    <w:p w14:paraId="37FB540E" w14:textId="77777777" w:rsidR="00CC7EB4" w:rsidRPr="00684C41" w:rsidRDefault="00CC7EB4" w:rsidP="00CC7EB4">
      <w:pPr>
        <w:pStyle w:val="FootnoteText"/>
        <w:rPr>
          <w:rFonts w:ascii="Arial" w:hAnsi="Arial" w:cs="Arial"/>
          <w:lang w:val="en-US"/>
        </w:rPr>
      </w:pPr>
      <w:r w:rsidRPr="00E86DF3">
        <w:rPr>
          <w:rStyle w:val="FootnoteReference"/>
          <w:rFonts w:ascii="Arial" w:hAnsi="Arial" w:cs="Arial"/>
        </w:rPr>
        <w:footnoteRef/>
      </w:r>
      <w:r w:rsidRPr="00E86DF3">
        <w:rPr>
          <w:rFonts w:ascii="Arial" w:hAnsi="Arial" w:cs="Arial"/>
        </w:rPr>
        <w:t xml:space="preserve"> </w:t>
      </w:r>
      <w:r>
        <w:rPr>
          <w:rFonts w:ascii="Arial" w:hAnsi="Arial" w:cs="Arial"/>
        </w:rPr>
        <w:t xml:space="preserve">For two prominent advocates for notice disclosure, see Ryan Calo “Against Notice Skepticism in Privacy (and Elsewhere)” (2012) 87 Notre Dame L.Rev. 1027 and Oren Bar-Gill “Defending (Smart) Disclosure: A Comment on </w:t>
      </w:r>
      <w:r>
        <w:rPr>
          <w:rFonts w:ascii="Arial" w:hAnsi="Arial" w:cs="Arial"/>
          <w:i/>
          <w:iCs/>
        </w:rPr>
        <w:t>More Than You Wanted to Know</w:t>
      </w:r>
      <w:r>
        <w:rPr>
          <w:rFonts w:ascii="Arial" w:hAnsi="Arial" w:cs="Arial"/>
        </w:rPr>
        <w:t>” (2015) 11 Jerusalem Rev. Leg. Stud. 75.</w:t>
      </w:r>
    </w:p>
  </w:footnote>
  <w:footnote w:id="238">
    <w:p w14:paraId="3FD46FBB" w14:textId="77777777" w:rsidR="00CC7EB4" w:rsidRPr="00E86DF3" w:rsidRDefault="00CC7EB4" w:rsidP="00CC7EB4">
      <w:pPr>
        <w:pStyle w:val="FootnoteText"/>
        <w:rPr>
          <w:rFonts w:ascii="Arial" w:hAnsi="Arial" w:cs="Arial"/>
          <w:lang w:val="en-US"/>
        </w:rPr>
      </w:pPr>
      <w:r w:rsidRPr="00E86DF3">
        <w:rPr>
          <w:rStyle w:val="FootnoteReference"/>
          <w:rFonts w:ascii="Arial" w:hAnsi="Arial" w:cs="Arial"/>
        </w:rPr>
        <w:footnoteRef/>
      </w:r>
      <w:r w:rsidRPr="00E86DF3">
        <w:rPr>
          <w:rFonts w:ascii="Arial" w:hAnsi="Arial" w:cs="Arial"/>
        </w:rPr>
        <w:t xml:space="preserve"> </w:t>
      </w:r>
      <w:r w:rsidRPr="00271500">
        <w:rPr>
          <w:rFonts w:ascii="Arial" w:hAnsi="Arial" w:cs="Arial"/>
        </w:rPr>
        <w:t xml:space="preserve">Omri Ben-Shahar and Carl E. Schneider “Coping with the Failure of Mandated Disclosure” (2015) 11 Jerusalem Rev. Legal. Stud. 83 at 88 and </w:t>
      </w:r>
      <w:r>
        <w:rPr>
          <w:rFonts w:ascii="Arial" w:hAnsi="Arial" w:cs="Arial"/>
        </w:rPr>
        <w:t>89</w:t>
      </w:r>
      <w:r w:rsidRPr="00271500">
        <w:rPr>
          <w:rFonts w:ascii="Arial" w:hAnsi="Arial" w:cs="Arial"/>
        </w:rPr>
        <w:t>.</w:t>
      </w:r>
    </w:p>
  </w:footnote>
  <w:footnote w:id="239">
    <w:p w14:paraId="53CF402F" w14:textId="77777777" w:rsidR="00CC7EB4" w:rsidRPr="00E86DF3" w:rsidRDefault="00CC7EB4" w:rsidP="00CC7EB4">
      <w:pPr>
        <w:pStyle w:val="FootnoteText"/>
        <w:rPr>
          <w:rFonts w:ascii="Arial" w:hAnsi="Arial" w:cs="Arial"/>
          <w:lang w:val="en-US"/>
        </w:rPr>
      </w:pPr>
      <w:r w:rsidRPr="00E86DF3">
        <w:rPr>
          <w:rStyle w:val="FootnoteReference"/>
          <w:rFonts w:ascii="Arial" w:hAnsi="Arial" w:cs="Arial"/>
        </w:rPr>
        <w:footnoteRef/>
      </w:r>
      <w:r w:rsidRPr="00E86DF3">
        <w:rPr>
          <w:rFonts w:ascii="Arial" w:hAnsi="Arial" w:cs="Arial"/>
        </w:rPr>
        <w:t xml:space="preserve"> Yonathan A. Arbel and Samuel Becher “How Smart are Smart Readers? LLMs and the Future of the No-Reading Problem” in Stacy-Ann Elvt and Nancy Kim (eds) </w:t>
      </w:r>
      <w:r w:rsidRPr="00E86DF3">
        <w:rPr>
          <w:rFonts w:ascii="Arial" w:hAnsi="Arial" w:cs="Arial"/>
          <w:i/>
          <w:iCs/>
        </w:rPr>
        <w:t xml:space="preserve">The Cambridge Handbook on Emerging Issues at the Intersection of Commercial Law and Technology </w:t>
      </w:r>
      <w:r w:rsidRPr="00E86DF3">
        <w:rPr>
          <w:rFonts w:ascii="Arial" w:hAnsi="Arial" w:cs="Arial"/>
        </w:rPr>
        <w:t>(Cambridge University Press, Forthcoming 2024).</w:t>
      </w:r>
    </w:p>
  </w:footnote>
  <w:footnote w:id="240">
    <w:p w14:paraId="50DE3074" w14:textId="77777777" w:rsidR="00CC7EB4" w:rsidRPr="005D09DE" w:rsidRDefault="00CC7EB4" w:rsidP="00CC7EB4">
      <w:pPr>
        <w:pStyle w:val="FootnoteText"/>
        <w:rPr>
          <w:rFonts w:ascii="Arial" w:hAnsi="Arial" w:cs="Arial"/>
          <w:lang w:val="en-US"/>
        </w:rPr>
      </w:pPr>
      <w:r w:rsidRPr="00E86DF3">
        <w:rPr>
          <w:rStyle w:val="FootnoteReference"/>
          <w:rFonts w:ascii="Arial" w:hAnsi="Arial" w:cs="Arial"/>
        </w:rPr>
        <w:footnoteRef/>
      </w:r>
      <w:r w:rsidRPr="00E86DF3">
        <w:rPr>
          <w:rFonts w:ascii="Arial" w:hAnsi="Arial" w:cs="Arial"/>
        </w:rPr>
        <w:t xml:space="preserve"> At 40.</w:t>
      </w:r>
    </w:p>
  </w:footnote>
  <w:footnote w:id="241">
    <w:p w14:paraId="76F5A2C3" w14:textId="77777777" w:rsidR="00CC7EB4" w:rsidRPr="005D09DE" w:rsidRDefault="00CC7EB4" w:rsidP="00CC7EB4">
      <w:pPr>
        <w:pStyle w:val="FootnoteText"/>
        <w:rPr>
          <w:rFonts w:ascii="Arial" w:hAnsi="Arial" w:cs="Arial"/>
          <w:lang w:val="en-US"/>
        </w:rPr>
      </w:pPr>
      <w:r w:rsidRPr="005D09DE">
        <w:rPr>
          <w:rStyle w:val="FootnoteReference"/>
          <w:rFonts w:ascii="Arial" w:hAnsi="Arial" w:cs="Arial"/>
        </w:rPr>
        <w:footnoteRef/>
      </w:r>
      <w:r w:rsidRPr="005D09DE">
        <w:rPr>
          <w:rFonts w:ascii="Arial" w:hAnsi="Arial" w:cs="Arial"/>
        </w:rPr>
        <w:t xml:space="preserve"> </w:t>
      </w:r>
      <w:r>
        <w:rPr>
          <w:rFonts w:ascii="Arial" w:hAnsi="Arial" w:cs="Arial"/>
        </w:rPr>
        <w:t>At 1.</w:t>
      </w:r>
    </w:p>
  </w:footnote>
  <w:footnote w:id="242">
    <w:p w14:paraId="4871FDC3" w14:textId="77777777" w:rsidR="00CC7EB4" w:rsidRPr="005D09DE" w:rsidRDefault="00CC7EB4" w:rsidP="00CC7EB4">
      <w:pPr>
        <w:pStyle w:val="FootnoteText"/>
        <w:rPr>
          <w:rFonts w:ascii="Arial" w:hAnsi="Arial" w:cs="Arial"/>
          <w:lang w:val="en-US"/>
        </w:rPr>
      </w:pPr>
      <w:r w:rsidRPr="005D09DE">
        <w:rPr>
          <w:rStyle w:val="FootnoteReference"/>
          <w:rFonts w:ascii="Arial" w:hAnsi="Arial" w:cs="Arial"/>
        </w:rPr>
        <w:footnoteRef/>
      </w:r>
      <w:r w:rsidRPr="005D09DE">
        <w:rPr>
          <w:rFonts w:ascii="Arial" w:hAnsi="Arial" w:cs="Arial"/>
        </w:rPr>
        <w:t xml:space="preserve"> </w:t>
      </w:r>
      <w:r>
        <w:rPr>
          <w:rFonts w:ascii="Arial" w:hAnsi="Arial" w:cs="Arial"/>
        </w:rPr>
        <w:t>At 40.</w:t>
      </w:r>
    </w:p>
  </w:footnote>
  <w:footnote w:id="243">
    <w:p w14:paraId="58210378" w14:textId="77777777" w:rsidR="00CC7EB4" w:rsidRPr="005D09DE" w:rsidRDefault="00CC7EB4" w:rsidP="00CC7EB4">
      <w:pPr>
        <w:pStyle w:val="FootnoteText"/>
        <w:rPr>
          <w:rFonts w:ascii="Arial" w:hAnsi="Arial" w:cs="Arial"/>
          <w:lang w:val="en-US"/>
        </w:rPr>
      </w:pPr>
      <w:r w:rsidRPr="005D09DE">
        <w:rPr>
          <w:rStyle w:val="FootnoteReference"/>
          <w:rFonts w:ascii="Arial" w:hAnsi="Arial" w:cs="Arial"/>
        </w:rPr>
        <w:footnoteRef/>
      </w:r>
      <w:r w:rsidRPr="005D09DE">
        <w:rPr>
          <w:rFonts w:ascii="Arial" w:hAnsi="Arial" w:cs="Arial"/>
        </w:rPr>
        <w:t xml:space="preserve"> </w:t>
      </w:r>
      <w:r w:rsidRPr="005D09DE">
        <w:rPr>
          <w:rFonts w:ascii="Arial" w:hAnsi="Arial" w:cs="Arial"/>
          <w:lang w:val="en-US"/>
        </w:rPr>
        <w:t>At 40.</w:t>
      </w:r>
    </w:p>
  </w:footnote>
  <w:footnote w:id="244">
    <w:p w14:paraId="058F0670" w14:textId="77777777" w:rsidR="00CC7EB4" w:rsidRPr="00FF21E9" w:rsidRDefault="00CC7EB4" w:rsidP="00CC7EB4">
      <w:pPr>
        <w:pStyle w:val="FootnoteText"/>
        <w:rPr>
          <w:rFonts w:ascii="Arial" w:hAnsi="Arial" w:cs="Arial"/>
          <w:lang w:val="en-US"/>
        </w:rPr>
      </w:pPr>
      <w:r w:rsidRPr="00FF21E9">
        <w:rPr>
          <w:rStyle w:val="FootnoteReference"/>
          <w:rFonts w:ascii="Arial" w:hAnsi="Arial" w:cs="Arial"/>
        </w:rPr>
        <w:footnoteRef/>
      </w:r>
      <w:r w:rsidRPr="00FF21E9">
        <w:rPr>
          <w:rFonts w:ascii="Arial" w:hAnsi="Arial" w:cs="Arial"/>
        </w:rPr>
        <w:t xml:space="preserve"> Uri Benoliel and Samuel Becher “</w:t>
      </w:r>
      <w:r w:rsidRPr="00FF21E9">
        <w:rPr>
          <w:rFonts w:ascii="Arial" w:hAnsi="Arial" w:cs="Arial"/>
          <w:lang w:val="en-US"/>
        </w:rPr>
        <w:t>The Duty to Read the Unreadable” (2019) 60 B.C.L.Rev 2255 at 2273-2275.</w:t>
      </w:r>
    </w:p>
  </w:footnote>
  <w:footnote w:id="245">
    <w:p w14:paraId="5AF6A31E" w14:textId="77777777" w:rsidR="00CC7EB4" w:rsidRPr="00FF21E9" w:rsidRDefault="00CC7EB4" w:rsidP="00CC7EB4">
      <w:pPr>
        <w:pStyle w:val="FootnoteText"/>
        <w:rPr>
          <w:rFonts w:ascii="Arial" w:hAnsi="Arial" w:cs="Arial"/>
          <w:lang w:val="en-US"/>
        </w:rPr>
      </w:pPr>
      <w:r w:rsidRPr="00FF21E9">
        <w:rPr>
          <w:rStyle w:val="FootnoteReference"/>
          <w:rFonts w:ascii="Arial" w:hAnsi="Arial" w:cs="Arial"/>
        </w:rPr>
        <w:footnoteRef/>
      </w:r>
      <w:r w:rsidRPr="00FF21E9">
        <w:rPr>
          <w:rFonts w:ascii="Arial" w:hAnsi="Arial" w:cs="Arial"/>
        </w:rPr>
        <w:t xml:space="preserve"> A</w:t>
      </w:r>
      <w:r w:rsidRPr="00FF21E9">
        <w:rPr>
          <w:rFonts w:ascii="Arial" w:hAnsi="Arial" w:cs="Arial"/>
          <w:lang w:val="en-US"/>
        </w:rPr>
        <w:t>t 2275.</w:t>
      </w:r>
    </w:p>
  </w:footnote>
  <w:footnote w:id="246">
    <w:p w14:paraId="42DCAB16" w14:textId="77777777" w:rsidR="00CC7EB4" w:rsidRPr="00FF21E9" w:rsidRDefault="00CC7EB4" w:rsidP="00CC7EB4">
      <w:pPr>
        <w:pStyle w:val="FootnoteText"/>
        <w:rPr>
          <w:rFonts w:ascii="Arial" w:hAnsi="Arial" w:cs="Arial"/>
          <w:lang w:val="en-US"/>
        </w:rPr>
      </w:pPr>
      <w:r w:rsidRPr="00FF21E9">
        <w:rPr>
          <w:rStyle w:val="FootnoteReference"/>
          <w:rFonts w:ascii="Arial" w:hAnsi="Arial" w:cs="Arial"/>
        </w:rPr>
        <w:footnoteRef/>
      </w:r>
      <w:r w:rsidRPr="00FF21E9">
        <w:rPr>
          <w:rFonts w:ascii="Arial" w:hAnsi="Arial" w:cs="Arial"/>
        </w:rPr>
        <w:t xml:space="preserve"> At 2274.</w:t>
      </w:r>
    </w:p>
  </w:footnote>
  <w:footnote w:id="247">
    <w:p w14:paraId="269C4821" w14:textId="77777777" w:rsidR="00CC7EB4" w:rsidRPr="00FF21E9" w:rsidRDefault="00CC7EB4" w:rsidP="00CC7EB4">
      <w:pPr>
        <w:pStyle w:val="FootnoteText"/>
        <w:rPr>
          <w:rFonts w:ascii="Arial" w:hAnsi="Arial" w:cs="Arial"/>
          <w:lang w:val="en-US"/>
        </w:rPr>
      </w:pPr>
      <w:r w:rsidRPr="00FF21E9">
        <w:rPr>
          <w:rStyle w:val="FootnoteReference"/>
          <w:rFonts w:ascii="Arial" w:hAnsi="Arial" w:cs="Arial"/>
        </w:rPr>
        <w:footnoteRef/>
      </w:r>
      <w:r w:rsidRPr="00FF21E9">
        <w:rPr>
          <w:rFonts w:ascii="Arial" w:hAnsi="Arial" w:cs="Arial"/>
        </w:rPr>
        <w:t xml:space="preserve"> I use the term bold print to contrast the proposed disclosure regime with the status quo of fine print.</w:t>
      </w:r>
    </w:p>
  </w:footnote>
  <w:footnote w:id="248">
    <w:p w14:paraId="5487EB5C" w14:textId="77777777" w:rsidR="00CC7EB4" w:rsidRPr="007B6CCF" w:rsidRDefault="00CC7EB4" w:rsidP="00CC7EB4">
      <w:pPr>
        <w:pStyle w:val="FootnoteText"/>
        <w:rPr>
          <w:rFonts w:ascii="Arial" w:hAnsi="Arial" w:cs="Arial"/>
        </w:rPr>
      </w:pPr>
      <w:r w:rsidRPr="00FF21E9">
        <w:rPr>
          <w:rStyle w:val="FootnoteReference"/>
          <w:rFonts w:ascii="Arial" w:hAnsi="Arial" w:cs="Arial"/>
        </w:rPr>
        <w:footnoteRef/>
      </w:r>
      <w:r w:rsidRPr="00FF21E9">
        <w:rPr>
          <w:rFonts w:ascii="Arial" w:hAnsi="Arial" w:cs="Arial"/>
        </w:rPr>
        <w:t xml:space="preserve"> Particularly financial disclosure regimes.</w:t>
      </w:r>
    </w:p>
  </w:footnote>
  <w:footnote w:id="249">
    <w:p w14:paraId="7D5D0C4C" w14:textId="77777777" w:rsidR="00CC7EB4" w:rsidRPr="00D96F44" w:rsidRDefault="00CC7EB4" w:rsidP="00CC7EB4">
      <w:pPr>
        <w:pStyle w:val="FootnoteText"/>
        <w:rPr>
          <w:rFonts w:ascii="Arial" w:hAnsi="Arial" w:cs="Arial"/>
          <w:lang w:val="en-US"/>
        </w:rPr>
      </w:pPr>
      <w:r w:rsidRPr="00D96F44">
        <w:rPr>
          <w:rStyle w:val="FootnoteReference"/>
          <w:rFonts w:ascii="Arial" w:hAnsi="Arial" w:cs="Arial"/>
        </w:rPr>
        <w:footnoteRef/>
      </w:r>
      <w:r w:rsidRPr="00D96F44">
        <w:rPr>
          <w:rFonts w:ascii="Arial" w:hAnsi="Arial" w:cs="Arial"/>
        </w:rPr>
        <w:t xml:space="preserve"> </w:t>
      </w:r>
      <w:r>
        <w:rPr>
          <w:rFonts w:ascii="Arial" w:hAnsi="Arial" w:cs="Arial"/>
        </w:rPr>
        <w:t>Archon Fung and others</w:t>
      </w:r>
      <w:r w:rsidRPr="00D96F44">
        <w:rPr>
          <w:rFonts w:ascii="Arial" w:hAnsi="Arial" w:cs="Arial"/>
        </w:rPr>
        <w:t xml:space="preserve"> “The Political Economy of Transparency: What makes disclosure policies effective?” </w:t>
      </w:r>
      <w:r>
        <w:rPr>
          <w:rFonts w:ascii="Arial" w:hAnsi="Arial" w:cs="Arial"/>
        </w:rPr>
        <w:t xml:space="preserve">(Ash Institute for Democratic Governance and Innovation, Harvard University, December 2004) </w:t>
      </w:r>
      <w:r w:rsidRPr="00D96F44">
        <w:rPr>
          <w:rFonts w:ascii="Arial" w:hAnsi="Arial" w:cs="Arial"/>
          <w:lang w:val="en-US"/>
        </w:rPr>
        <w:t>at 29.</w:t>
      </w:r>
    </w:p>
  </w:footnote>
  <w:footnote w:id="250">
    <w:p w14:paraId="75ADC4AE" w14:textId="77777777" w:rsidR="00CC7EB4" w:rsidRPr="00D96F44" w:rsidRDefault="00CC7EB4" w:rsidP="00CC7EB4">
      <w:pPr>
        <w:pStyle w:val="FootnoteText"/>
        <w:rPr>
          <w:rFonts w:ascii="Arial" w:hAnsi="Arial" w:cs="Arial"/>
          <w:lang w:val="en-US"/>
        </w:rPr>
      </w:pPr>
      <w:r w:rsidRPr="00D96F44">
        <w:rPr>
          <w:rStyle w:val="FootnoteReference"/>
          <w:rFonts w:ascii="Arial" w:hAnsi="Arial" w:cs="Arial"/>
        </w:rPr>
        <w:footnoteRef/>
      </w:r>
      <w:r w:rsidRPr="00D96F44">
        <w:rPr>
          <w:rFonts w:ascii="Arial" w:hAnsi="Arial" w:cs="Arial"/>
        </w:rPr>
        <w:t xml:space="preserve"> </w:t>
      </w:r>
      <w:r w:rsidRPr="00D96F44">
        <w:rPr>
          <w:rFonts w:ascii="Arial" w:hAnsi="Arial" w:cs="Arial"/>
          <w:lang w:val="en-US"/>
        </w:rPr>
        <w:t>At 4.</w:t>
      </w:r>
    </w:p>
  </w:footnote>
  <w:footnote w:id="251">
    <w:p w14:paraId="265F37D4" w14:textId="77777777" w:rsidR="00CC7EB4" w:rsidRPr="00D96F44" w:rsidRDefault="00CC7EB4" w:rsidP="00CC7EB4">
      <w:pPr>
        <w:pStyle w:val="NormalWeb"/>
        <w:spacing w:before="0" w:beforeAutospacing="0" w:after="0" w:afterAutospacing="0"/>
        <w:rPr>
          <w:rFonts w:ascii="Arial" w:hAnsi="Arial" w:cs="Arial"/>
          <w:sz w:val="20"/>
          <w:szCs w:val="20"/>
        </w:rPr>
      </w:pPr>
      <w:r w:rsidRPr="00D96F44">
        <w:rPr>
          <w:rStyle w:val="FootnoteReference"/>
          <w:rFonts w:ascii="Arial" w:hAnsi="Arial" w:cs="Arial"/>
          <w:sz w:val="20"/>
          <w:szCs w:val="20"/>
        </w:rPr>
        <w:footnoteRef/>
      </w:r>
      <w:r w:rsidRPr="00D96F44">
        <w:rPr>
          <w:rFonts w:ascii="Arial" w:hAnsi="Arial" w:cs="Arial"/>
          <w:sz w:val="20"/>
          <w:szCs w:val="20"/>
        </w:rPr>
        <w:t xml:space="preserve"> </w:t>
      </w:r>
      <w:r>
        <w:rPr>
          <w:rFonts w:ascii="Arial" w:hAnsi="Arial" w:cs="Arial"/>
          <w:sz w:val="20"/>
          <w:szCs w:val="20"/>
        </w:rPr>
        <w:t>Howard Beales, Richard Craswell, and Steven Salop “Information Remedies for Consumer Protection” (Working Paper No. 36, FTC Bureau of Economics, August 1980).</w:t>
      </w:r>
    </w:p>
  </w:footnote>
  <w:footnote w:id="252">
    <w:p w14:paraId="2DED9A28" w14:textId="77777777" w:rsidR="00CC7EB4" w:rsidRPr="002C7D1B"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See, for example, MBIE “New Zealand Consumer Survey 2022” (2022) </w:t>
      </w:r>
      <w:hyperlink r:id="rId8" w:history="1">
        <w:r w:rsidRPr="002C7D1B">
          <w:rPr>
            <w:rStyle w:val="Hyperlink"/>
            <w:rFonts w:ascii="Arial" w:hAnsi="Arial" w:cs="Arial"/>
          </w:rPr>
          <w:t>www.mbie.govt.nz</w:t>
        </w:r>
      </w:hyperlink>
      <w:r w:rsidRPr="002C7D1B">
        <w:rPr>
          <w:rFonts w:ascii="Arial" w:hAnsi="Arial" w:cs="Arial"/>
        </w:rPr>
        <w:t>.</w:t>
      </w:r>
    </w:p>
  </w:footnote>
  <w:footnote w:id="253">
    <w:p w14:paraId="0F3FB7B7" w14:textId="77777777" w:rsidR="00CC7EB4" w:rsidRPr="002C7D1B"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lang w:val="en-US"/>
        </w:rPr>
        <w:t xml:space="preserve"> Many consumers are, by no fault of their own, unaware of their rights under consumer protection laws. Consumer unfamiliarity with the law is likely heightened with respect to esoteric doctrines such as that of unconscionability.</w:t>
      </w:r>
    </w:p>
  </w:footnote>
  <w:footnote w:id="254">
    <w:p w14:paraId="1A77B063" w14:textId="77777777" w:rsidR="00CC7EB4" w:rsidRPr="002C7D1B"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See, for example, Marcus Moore “Controlling Fairness in Standard Form Contracts: What Can Courts Do, and What Should They Do?” (2022) 55 UBC L Rev 547 and Marotta-Wurgler, above n </w:t>
      </w:r>
      <w:r>
        <w:rPr>
          <w:rFonts w:ascii="Arial" w:hAnsi="Arial" w:cs="Arial"/>
        </w:rPr>
        <w:t xml:space="preserve">231, </w:t>
      </w:r>
      <w:r w:rsidRPr="002C7D1B">
        <w:rPr>
          <w:rFonts w:ascii="Arial" w:hAnsi="Arial" w:cs="Arial"/>
        </w:rPr>
        <w:t>at 116</w:t>
      </w:r>
      <w:r>
        <w:rPr>
          <w:rFonts w:ascii="Arial" w:hAnsi="Arial" w:cs="Arial"/>
        </w:rPr>
        <w:t>.</w:t>
      </w:r>
    </w:p>
  </w:footnote>
  <w:footnote w:id="255">
    <w:p w14:paraId="7CB695AF" w14:textId="77777777" w:rsidR="00CC7EB4" w:rsidRPr="00271500" w:rsidRDefault="00CC7EB4" w:rsidP="00CC7EB4">
      <w:pPr>
        <w:pStyle w:val="FootnoteText"/>
        <w:rPr>
          <w:rFonts w:ascii="Arial" w:hAnsi="Arial" w:cs="Arial"/>
          <w:lang w:val="en-US"/>
        </w:rPr>
      </w:pPr>
      <w:r w:rsidRPr="002C7D1B">
        <w:rPr>
          <w:rStyle w:val="FootnoteReference"/>
          <w:rFonts w:ascii="Arial" w:hAnsi="Arial" w:cs="Arial"/>
        </w:rPr>
        <w:footnoteRef/>
      </w:r>
      <w:r w:rsidRPr="002C7D1B">
        <w:rPr>
          <w:rFonts w:ascii="Arial" w:hAnsi="Arial" w:cs="Arial"/>
        </w:rPr>
        <w:t xml:space="preserve"> </w:t>
      </w:r>
      <w:r w:rsidRPr="002C7D1B">
        <w:rPr>
          <w:rFonts w:ascii="Arial" w:hAnsi="Arial" w:cs="Arial"/>
          <w:lang w:val="en-US"/>
        </w:rPr>
        <w:t xml:space="preserve">Commerce Commission “Unfair contract terms reviews” (last updated 2023) </w:t>
      </w:r>
      <w:hyperlink r:id="rId9" w:history="1">
        <w:r w:rsidRPr="002C7D1B">
          <w:rPr>
            <w:rStyle w:val="Hyperlink"/>
            <w:rFonts w:ascii="Arial" w:hAnsi="Arial" w:cs="Arial"/>
            <w:lang w:val="en-US"/>
          </w:rPr>
          <w:t>https://comcom.govt.nz</w:t>
        </w:r>
      </w:hyperlink>
      <w:r w:rsidRPr="002C7D1B">
        <w:rPr>
          <w:rFonts w:ascii="Arial" w:hAnsi="Arial" w:cs="Arial"/>
          <w:lang w:val="en-US"/>
        </w:rPr>
        <w:t>.</w:t>
      </w:r>
    </w:p>
  </w:footnote>
  <w:footnote w:id="256">
    <w:p w14:paraId="039964F9" w14:textId="77777777" w:rsidR="00CC7EB4" w:rsidRPr="00271500" w:rsidRDefault="00CC7EB4" w:rsidP="00CC7EB4">
      <w:pPr>
        <w:pStyle w:val="FootnoteText"/>
        <w:rPr>
          <w:rFonts w:ascii="Arial" w:hAnsi="Arial" w:cs="Arial"/>
          <w:lang w:val="en-US"/>
        </w:rPr>
      </w:pPr>
      <w:r w:rsidRPr="00271500">
        <w:rPr>
          <w:rStyle w:val="FootnoteReference"/>
          <w:rFonts w:ascii="Arial" w:hAnsi="Arial" w:cs="Arial"/>
        </w:rPr>
        <w:footnoteRef/>
      </w:r>
      <w:r w:rsidRPr="00271500">
        <w:rPr>
          <w:rFonts w:ascii="Arial" w:hAnsi="Arial" w:cs="Arial"/>
        </w:rPr>
        <w:t xml:space="preserve"> Ben-Shahar and Schneider</w:t>
      </w:r>
      <w:r>
        <w:rPr>
          <w:rFonts w:ascii="Arial" w:hAnsi="Arial" w:cs="Arial"/>
        </w:rPr>
        <w:t xml:space="preserve">, above n 238, </w:t>
      </w:r>
      <w:r w:rsidRPr="00271500">
        <w:rPr>
          <w:rFonts w:ascii="Arial" w:hAnsi="Arial" w:cs="Arial"/>
        </w:rPr>
        <w:t>at 88 and 91</w:t>
      </w:r>
      <w:r>
        <w:rPr>
          <w:rFonts w:ascii="Arial" w:hAnsi="Arial" w:cs="Arial"/>
        </w:rPr>
        <w:t>.</w:t>
      </w:r>
    </w:p>
  </w:footnote>
  <w:footnote w:id="257">
    <w:p w14:paraId="2EC34474" w14:textId="77777777" w:rsidR="00CC7EB4" w:rsidRPr="00271500" w:rsidRDefault="00CC7EB4" w:rsidP="00CC7EB4">
      <w:pPr>
        <w:pStyle w:val="FootnoteText"/>
        <w:rPr>
          <w:rFonts w:ascii="Arial" w:hAnsi="Arial" w:cs="Arial"/>
          <w:lang w:val="en-US"/>
        </w:rPr>
      </w:pPr>
      <w:r w:rsidRPr="00271500">
        <w:rPr>
          <w:rStyle w:val="FootnoteReference"/>
          <w:rFonts w:ascii="Arial" w:hAnsi="Arial" w:cs="Arial"/>
        </w:rPr>
        <w:footnoteRef/>
      </w:r>
      <w:r w:rsidRPr="00271500">
        <w:rPr>
          <w:rFonts w:ascii="Arial" w:hAnsi="Arial" w:cs="Arial"/>
        </w:rPr>
        <w:t xml:space="preserve"> </w:t>
      </w:r>
      <w:r w:rsidRPr="00271500">
        <w:rPr>
          <w:rFonts w:ascii="Arial" w:hAnsi="Arial" w:cs="Arial"/>
          <w:lang w:val="en-US"/>
        </w:rPr>
        <w:t>At 91.</w:t>
      </w:r>
    </w:p>
  </w:footnote>
  <w:footnote w:id="258">
    <w:p w14:paraId="1425DF20" w14:textId="77777777" w:rsidR="00CC7EB4" w:rsidRPr="00271500" w:rsidRDefault="00CC7EB4" w:rsidP="00CC7EB4">
      <w:pPr>
        <w:pStyle w:val="FootnoteText"/>
        <w:rPr>
          <w:rFonts w:ascii="Arial" w:hAnsi="Arial" w:cs="Arial"/>
          <w:lang w:val="en-US"/>
        </w:rPr>
      </w:pPr>
      <w:r w:rsidRPr="00271500">
        <w:rPr>
          <w:rStyle w:val="FootnoteReference"/>
          <w:rFonts w:ascii="Arial" w:hAnsi="Arial" w:cs="Arial"/>
        </w:rPr>
        <w:footnoteRef/>
      </w:r>
      <w:r w:rsidRPr="00271500">
        <w:rPr>
          <w:rFonts w:ascii="Arial" w:hAnsi="Arial" w:cs="Arial"/>
        </w:rPr>
        <w:t xml:space="preserve"> </w:t>
      </w:r>
      <w:r w:rsidRPr="00271500">
        <w:rPr>
          <w:rFonts w:ascii="Arial" w:hAnsi="Arial" w:cs="Arial"/>
          <w:lang w:val="en-US"/>
        </w:rPr>
        <w:t>At 91.</w:t>
      </w:r>
    </w:p>
  </w:footnote>
  <w:footnote w:id="259">
    <w:p w14:paraId="0BED7EF5" w14:textId="77777777" w:rsidR="00CC7EB4" w:rsidRPr="00025C01" w:rsidRDefault="00CC7EB4" w:rsidP="00CC7EB4">
      <w:pPr>
        <w:pStyle w:val="FootnoteText"/>
        <w:rPr>
          <w:rFonts w:ascii="Arial" w:hAnsi="Arial" w:cs="Arial"/>
          <w:lang w:val="en-US"/>
        </w:rPr>
      </w:pPr>
      <w:r w:rsidRPr="00271500">
        <w:rPr>
          <w:rStyle w:val="FootnoteReference"/>
          <w:rFonts w:ascii="Arial" w:hAnsi="Arial" w:cs="Arial"/>
        </w:rPr>
        <w:footnoteRef/>
      </w:r>
      <w:r w:rsidRPr="00271500">
        <w:rPr>
          <w:rFonts w:ascii="Arial" w:hAnsi="Arial" w:cs="Arial"/>
        </w:rPr>
        <w:t xml:space="preserve"> At 91.</w:t>
      </w:r>
    </w:p>
  </w:footnote>
  <w:footnote w:id="260">
    <w:p w14:paraId="312C368D" w14:textId="77777777" w:rsidR="00CC7EB4" w:rsidRPr="00025C01" w:rsidRDefault="00CC7EB4" w:rsidP="00CC7EB4">
      <w:pPr>
        <w:pStyle w:val="FootnoteText"/>
        <w:rPr>
          <w:rFonts w:ascii="Arial" w:hAnsi="Arial" w:cs="Arial"/>
          <w:lang w:val="en-US"/>
        </w:rPr>
      </w:pPr>
      <w:r w:rsidRPr="00025C01">
        <w:rPr>
          <w:rStyle w:val="FootnoteReference"/>
          <w:rFonts w:ascii="Arial" w:hAnsi="Arial" w:cs="Arial"/>
        </w:rPr>
        <w:footnoteRef/>
      </w:r>
      <w:r w:rsidRPr="00025C01">
        <w:rPr>
          <w:rFonts w:ascii="Arial" w:hAnsi="Arial" w:cs="Arial"/>
        </w:rPr>
        <w:t xml:space="preserve"> </w:t>
      </w:r>
      <w:r>
        <w:rPr>
          <w:rFonts w:ascii="Arial" w:hAnsi="Arial" w:cs="Arial"/>
        </w:rPr>
        <w:t>Above, n 249, at 4.</w:t>
      </w:r>
    </w:p>
  </w:footnote>
  <w:footnote w:id="261">
    <w:p w14:paraId="083585E2" w14:textId="77777777" w:rsidR="00CC7EB4" w:rsidRPr="001B67A1" w:rsidRDefault="00CC7EB4" w:rsidP="00CC7EB4">
      <w:pPr>
        <w:pStyle w:val="FootnoteText"/>
        <w:rPr>
          <w:rFonts w:ascii="Arial" w:hAnsi="Arial" w:cs="Arial"/>
          <w:lang w:val="en-US"/>
        </w:rPr>
      </w:pPr>
      <w:r w:rsidRPr="001B67A1">
        <w:rPr>
          <w:rStyle w:val="FootnoteReference"/>
          <w:rFonts w:ascii="Arial" w:hAnsi="Arial" w:cs="Arial"/>
        </w:rPr>
        <w:footnoteRef/>
      </w:r>
      <w:r w:rsidRPr="001B67A1">
        <w:rPr>
          <w:rFonts w:ascii="Arial" w:hAnsi="Arial" w:cs="Arial"/>
        </w:rPr>
        <w:t xml:space="preserve"> Margaret Radin “Less Than I Wanted To Know: The Submerged Issues in More Than I Wanted To Know” (2015) 11 Jerusalem Rev. Legal. Stud. 51 at 55.</w:t>
      </w:r>
    </w:p>
  </w:footnote>
  <w:footnote w:id="262">
    <w:p w14:paraId="085DED98" w14:textId="77777777" w:rsidR="00CC7EB4" w:rsidRPr="001B67A1" w:rsidRDefault="00CC7EB4" w:rsidP="00CC7EB4">
      <w:pPr>
        <w:pStyle w:val="FootnoteText"/>
        <w:rPr>
          <w:rFonts w:ascii="Arial" w:hAnsi="Arial" w:cs="Arial"/>
          <w:lang w:val="en-US"/>
        </w:rPr>
      </w:pPr>
      <w:r w:rsidRPr="001B67A1">
        <w:rPr>
          <w:rStyle w:val="FootnoteReference"/>
          <w:rFonts w:ascii="Arial" w:hAnsi="Arial" w:cs="Arial"/>
        </w:rPr>
        <w:footnoteRef/>
      </w:r>
      <w:r w:rsidRPr="001B67A1">
        <w:rPr>
          <w:rFonts w:ascii="Arial" w:hAnsi="Arial" w:cs="Arial"/>
        </w:rPr>
        <w:t xml:space="preserve"> At 55.</w:t>
      </w:r>
    </w:p>
  </w:footnote>
  <w:footnote w:id="263">
    <w:p w14:paraId="1670A66E" w14:textId="77777777" w:rsidR="00CC7EB4" w:rsidRPr="001B67A1" w:rsidRDefault="00CC7EB4" w:rsidP="00CC7EB4">
      <w:pPr>
        <w:pStyle w:val="FootnoteText"/>
        <w:rPr>
          <w:rFonts w:ascii="Arial" w:hAnsi="Arial" w:cs="Arial"/>
          <w:lang w:val="en-US"/>
        </w:rPr>
      </w:pPr>
      <w:r w:rsidRPr="001B67A1">
        <w:rPr>
          <w:rStyle w:val="FootnoteReference"/>
          <w:rFonts w:ascii="Arial" w:hAnsi="Arial" w:cs="Arial"/>
        </w:rPr>
        <w:footnoteRef/>
      </w:r>
      <w:r w:rsidRPr="001B67A1">
        <w:rPr>
          <w:rFonts w:ascii="Arial" w:hAnsi="Arial" w:cs="Arial"/>
        </w:rPr>
        <w:t xml:space="preserve"> At 55.</w:t>
      </w:r>
    </w:p>
  </w:footnote>
  <w:footnote w:id="264">
    <w:p w14:paraId="7AAD8500" w14:textId="77777777" w:rsidR="00CC7EB4" w:rsidRPr="001B67A1" w:rsidRDefault="00CC7EB4" w:rsidP="00CC7EB4">
      <w:pPr>
        <w:pStyle w:val="FootnoteText"/>
        <w:rPr>
          <w:rFonts w:ascii="Arial" w:hAnsi="Arial" w:cs="Arial"/>
          <w:lang w:val="en-US"/>
        </w:rPr>
      </w:pPr>
      <w:r w:rsidRPr="001B67A1">
        <w:rPr>
          <w:rStyle w:val="FootnoteReference"/>
          <w:rFonts w:ascii="Arial" w:hAnsi="Arial" w:cs="Arial"/>
        </w:rPr>
        <w:footnoteRef/>
      </w:r>
      <w:r w:rsidRPr="001B67A1">
        <w:rPr>
          <w:rFonts w:ascii="Arial" w:hAnsi="Arial" w:cs="Arial"/>
        </w:rPr>
        <w:t xml:space="preserve"> </w:t>
      </w:r>
      <w:r w:rsidRPr="001B67A1">
        <w:rPr>
          <w:rFonts w:ascii="Arial" w:hAnsi="Arial" w:cs="Arial"/>
          <w:lang w:val="en-US"/>
        </w:rPr>
        <w:t xml:space="preserve">Omri Ben-Shahar and Carl E. Schneider </w:t>
      </w:r>
      <w:r w:rsidRPr="001B67A1">
        <w:rPr>
          <w:rFonts w:ascii="Arial" w:hAnsi="Arial" w:cs="Arial"/>
          <w:i/>
          <w:iCs/>
          <w:lang w:val="en-US"/>
        </w:rPr>
        <w:t xml:space="preserve">More Than You Wanted to Know: The Failure of Mandated Disclosure </w:t>
      </w:r>
      <w:r w:rsidRPr="001B67A1">
        <w:rPr>
          <w:rFonts w:ascii="Arial" w:hAnsi="Arial" w:cs="Arial"/>
          <w:lang w:val="en-US"/>
        </w:rPr>
        <w:t>(Princeton University Press, Princeton, 2014) at 121-137.</w:t>
      </w:r>
    </w:p>
  </w:footnote>
  <w:footnote w:id="265">
    <w:p w14:paraId="6DD4564C" w14:textId="77777777" w:rsidR="00CC7EB4" w:rsidRPr="001B67A1" w:rsidRDefault="00CC7EB4" w:rsidP="00CC7EB4">
      <w:pPr>
        <w:pStyle w:val="FootnoteText"/>
        <w:rPr>
          <w:rFonts w:ascii="Arial" w:hAnsi="Arial" w:cs="Arial"/>
          <w:lang w:val="en-US"/>
        </w:rPr>
      </w:pPr>
      <w:r w:rsidRPr="001B67A1">
        <w:rPr>
          <w:rStyle w:val="FootnoteReference"/>
          <w:rFonts w:ascii="Arial" w:hAnsi="Arial" w:cs="Arial"/>
        </w:rPr>
        <w:footnoteRef/>
      </w:r>
      <w:r w:rsidRPr="001B67A1">
        <w:rPr>
          <w:rFonts w:ascii="Arial" w:hAnsi="Arial" w:cs="Arial"/>
        </w:rPr>
        <w:t xml:space="preserve"> At 123.</w:t>
      </w:r>
    </w:p>
  </w:footnote>
  <w:footnote w:id="266">
    <w:p w14:paraId="05FF80D9" w14:textId="77777777" w:rsidR="00CC7EB4" w:rsidRPr="001B67A1" w:rsidRDefault="00CC7EB4" w:rsidP="00CC7EB4">
      <w:pPr>
        <w:pStyle w:val="FootnoteText"/>
        <w:rPr>
          <w:rFonts w:ascii="Arial" w:hAnsi="Arial" w:cs="Arial"/>
          <w:lang w:val="en-US"/>
        </w:rPr>
      </w:pPr>
      <w:r w:rsidRPr="001B67A1">
        <w:rPr>
          <w:rStyle w:val="FootnoteReference"/>
          <w:rFonts w:ascii="Arial" w:hAnsi="Arial" w:cs="Arial"/>
        </w:rPr>
        <w:footnoteRef/>
      </w:r>
      <w:r w:rsidRPr="001B67A1">
        <w:rPr>
          <w:rFonts w:ascii="Arial" w:hAnsi="Arial" w:cs="Arial"/>
        </w:rPr>
        <w:t xml:space="preserve"> At 123.</w:t>
      </w:r>
    </w:p>
  </w:footnote>
  <w:footnote w:id="267">
    <w:p w14:paraId="35FEB337" w14:textId="77777777" w:rsidR="00CC7EB4" w:rsidRPr="001B67A1" w:rsidRDefault="00CC7EB4" w:rsidP="00CC7EB4">
      <w:pPr>
        <w:pStyle w:val="FootnoteText"/>
        <w:rPr>
          <w:rFonts w:ascii="Arial" w:hAnsi="Arial" w:cs="Arial"/>
          <w:lang w:val="en-US"/>
        </w:rPr>
      </w:pPr>
      <w:r w:rsidRPr="001B67A1">
        <w:rPr>
          <w:rStyle w:val="FootnoteReference"/>
          <w:rFonts w:ascii="Arial" w:hAnsi="Arial" w:cs="Arial"/>
        </w:rPr>
        <w:footnoteRef/>
      </w:r>
      <w:r w:rsidRPr="001B67A1">
        <w:rPr>
          <w:rFonts w:ascii="Arial" w:hAnsi="Arial" w:cs="Arial"/>
        </w:rPr>
        <w:t xml:space="preserve"> At 123.</w:t>
      </w:r>
    </w:p>
  </w:footnote>
  <w:footnote w:id="268">
    <w:p w14:paraId="072E092B" w14:textId="77777777" w:rsidR="00CC7EB4" w:rsidRPr="00AE3DBF" w:rsidRDefault="00CC7EB4" w:rsidP="00CC7EB4">
      <w:pPr>
        <w:pStyle w:val="FootnoteText"/>
        <w:rPr>
          <w:lang w:val="en-US"/>
        </w:rPr>
      </w:pPr>
      <w:r w:rsidRPr="001B67A1">
        <w:rPr>
          <w:rStyle w:val="FootnoteReference"/>
          <w:rFonts w:ascii="Arial" w:hAnsi="Arial" w:cs="Arial"/>
        </w:rPr>
        <w:footnoteRef/>
      </w:r>
      <w:r w:rsidRPr="001B67A1">
        <w:rPr>
          <w:rFonts w:ascii="Arial" w:hAnsi="Arial" w:cs="Arial"/>
        </w:rPr>
        <w:t xml:space="preserve"> </w:t>
      </w:r>
      <w:r w:rsidRPr="001B67A1">
        <w:rPr>
          <w:rFonts w:ascii="Arial" w:hAnsi="Arial" w:cs="Arial"/>
          <w:lang w:val="en-US"/>
        </w:rPr>
        <w:t>At 137.</w:t>
      </w:r>
    </w:p>
  </w:footnote>
  <w:footnote w:id="269">
    <w:p w14:paraId="0C227557" w14:textId="77777777" w:rsidR="00CC7EB4" w:rsidRPr="00E73F02" w:rsidRDefault="00CC7EB4" w:rsidP="00CC7EB4">
      <w:pPr>
        <w:pStyle w:val="FootnoteText"/>
        <w:rPr>
          <w:rFonts w:ascii="Arial" w:hAnsi="Arial" w:cs="Arial"/>
          <w:lang w:val="en-US"/>
        </w:rPr>
      </w:pPr>
      <w:r w:rsidRPr="00E73F02">
        <w:rPr>
          <w:rStyle w:val="FootnoteReference"/>
          <w:rFonts w:ascii="Arial" w:hAnsi="Arial" w:cs="Arial"/>
        </w:rPr>
        <w:footnoteRef/>
      </w:r>
      <w:r w:rsidRPr="00E73F02">
        <w:rPr>
          <w:rFonts w:ascii="Arial" w:hAnsi="Arial" w:cs="Arial"/>
        </w:rPr>
        <w:t xml:space="preserve"> Ariel Porat and Lior Jacob Strahilevitz “Personalizing Default Rules and Disclosure with Big Data” (2014) 112 Mich.L</w:t>
      </w:r>
      <w:r>
        <w:rPr>
          <w:rFonts w:ascii="Arial" w:hAnsi="Arial" w:cs="Arial"/>
        </w:rPr>
        <w:t>.</w:t>
      </w:r>
      <w:r w:rsidRPr="00E73F02">
        <w:rPr>
          <w:rFonts w:ascii="Arial" w:hAnsi="Arial" w:cs="Arial"/>
        </w:rPr>
        <w:t>Rev. 1417.</w:t>
      </w:r>
    </w:p>
  </w:footnote>
  <w:footnote w:id="270">
    <w:p w14:paraId="20FC3F5B" w14:textId="77777777" w:rsidR="00CC7EB4" w:rsidRPr="00E73F02" w:rsidRDefault="00CC7EB4" w:rsidP="00CC7EB4">
      <w:pPr>
        <w:pStyle w:val="FootnoteText"/>
        <w:rPr>
          <w:rFonts w:ascii="Arial" w:hAnsi="Arial" w:cs="Arial"/>
          <w:lang w:val="en-US"/>
        </w:rPr>
      </w:pPr>
      <w:r w:rsidRPr="00E73F02">
        <w:rPr>
          <w:rStyle w:val="FootnoteReference"/>
          <w:rFonts w:ascii="Arial" w:hAnsi="Arial" w:cs="Arial"/>
        </w:rPr>
        <w:footnoteRef/>
      </w:r>
      <w:r w:rsidRPr="00E73F02">
        <w:rPr>
          <w:rFonts w:ascii="Arial" w:hAnsi="Arial" w:cs="Arial"/>
        </w:rPr>
        <w:t xml:space="preserve"> Stephanie Bornstein “The Enforcement Value of Disclosure” (2023) 72 Duke L.J. 1771.</w:t>
      </w:r>
    </w:p>
  </w:footnote>
  <w:footnote w:id="271">
    <w:p w14:paraId="08175B1B" w14:textId="77777777" w:rsidR="00CC7EB4" w:rsidRPr="00E73F02" w:rsidRDefault="00CC7EB4" w:rsidP="00CC7EB4">
      <w:pPr>
        <w:pStyle w:val="FootnoteText"/>
        <w:rPr>
          <w:rFonts w:ascii="Arial" w:hAnsi="Arial" w:cs="Arial"/>
          <w:lang w:val="en-US"/>
        </w:rPr>
      </w:pPr>
      <w:r w:rsidRPr="00E73F02">
        <w:rPr>
          <w:rStyle w:val="FootnoteReference"/>
          <w:rFonts w:ascii="Arial" w:hAnsi="Arial" w:cs="Arial"/>
        </w:rPr>
        <w:footnoteRef/>
      </w:r>
      <w:r w:rsidRPr="00E73F02">
        <w:rPr>
          <w:rFonts w:ascii="Arial" w:hAnsi="Arial" w:cs="Arial"/>
        </w:rPr>
        <w:t xml:space="preserve"> At 1773.</w:t>
      </w:r>
    </w:p>
  </w:footnote>
  <w:footnote w:id="272">
    <w:p w14:paraId="030ED482" w14:textId="77777777" w:rsidR="00CC7EB4" w:rsidRPr="00E73F02" w:rsidRDefault="00CC7EB4" w:rsidP="00CC7EB4">
      <w:pPr>
        <w:pStyle w:val="FootnoteText"/>
        <w:rPr>
          <w:rFonts w:ascii="Arial" w:hAnsi="Arial" w:cs="Arial"/>
          <w:lang w:val="en-US"/>
        </w:rPr>
      </w:pPr>
      <w:r w:rsidRPr="00E73F02">
        <w:rPr>
          <w:rStyle w:val="FootnoteReference"/>
          <w:rFonts w:ascii="Arial" w:hAnsi="Arial" w:cs="Arial"/>
        </w:rPr>
        <w:footnoteRef/>
      </w:r>
      <w:r w:rsidRPr="00E73F02">
        <w:rPr>
          <w:rFonts w:ascii="Arial" w:hAnsi="Arial" w:cs="Arial"/>
        </w:rPr>
        <w:t xml:space="preserve"> At 1779-1780.</w:t>
      </w:r>
    </w:p>
  </w:footnote>
  <w:footnote w:id="273">
    <w:p w14:paraId="6AFB2D74" w14:textId="77777777" w:rsidR="00CC7EB4" w:rsidRPr="00DA7903" w:rsidRDefault="00CC7EB4" w:rsidP="00CC7EB4">
      <w:pPr>
        <w:pStyle w:val="FootnoteText"/>
        <w:rPr>
          <w:rFonts w:ascii="Arial" w:hAnsi="Arial" w:cs="Arial"/>
          <w:lang w:val="en-US"/>
        </w:rPr>
      </w:pPr>
      <w:r w:rsidRPr="00DA7903">
        <w:rPr>
          <w:rStyle w:val="FootnoteReference"/>
          <w:rFonts w:ascii="Arial" w:hAnsi="Arial" w:cs="Arial"/>
        </w:rPr>
        <w:footnoteRef/>
      </w:r>
      <w:r w:rsidRPr="00DA7903">
        <w:rPr>
          <w:rFonts w:ascii="Arial" w:hAnsi="Arial" w:cs="Arial"/>
        </w:rPr>
        <w:t xml:space="preserve"> George Loewenstein, Cass R. Sunstein, and Russell Golman “Disclosure: Psychology Changes Everything” (2014) 6 Annu. Rev. Econ. 391 at 412.</w:t>
      </w:r>
    </w:p>
  </w:footnote>
  <w:footnote w:id="274">
    <w:p w14:paraId="410BBE1E" w14:textId="77777777" w:rsidR="00CC7EB4" w:rsidRPr="00DA7903" w:rsidRDefault="00CC7EB4" w:rsidP="00CC7EB4">
      <w:pPr>
        <w:pStyle w:val="FootnoteText"/>
        <w:rPr>
          <w:rFonts w:ascii="Arial" w:hAnsi="Arial" w:cs="Arial"/>
          <w:lang w:val="en-US"/>
        </w:rPr>
      </w:pPr>
      <w:r w:rsidRPr="00DA7903">
        <w:rPr>
          <w:rStyle w:val="FootnoteReference"/>
          <w:rFonts w:ascii="Arial" w:hAnsi="Arial" w:cs="Arial"/>
        </w:rPr>
        <w:footnoteRef/>
      </w:r>
      <w:r w:rsidRPr="00DA7903">
        <w:rPr>
          <w:rFonts w:ascii="Arial" w:hAnsi="Arial" w:cs="Arial"/>
        </w:rPr>
        <w:t xml:space="preserve"> Radin, above n </w:t>
      </w:r>
      <w:r>
        <w:rPr>
          <w:rFonts w:ascii="Arial" w:hAnsi="Arial" w:cs="Arial"/>
        </w:rPr>
        <w:t>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610C" w14:textId="77777777" w:rsidR="00CC7EB4" w:rsidRPr="00D249BC" w:rsidRDefault="00CC7EB4">
    <w:pPr>
      <w:pStyle w:val="Header"/>
      <w:rPr>
        <w:rFonts w:ascii="Arial" w:hAnsi="Arial" w:cs="Arial"/>
        <w:sz w:val="22"/>
        <w:szCs w:val="22"/>
      </w:rPr>
    </w:pPr>
    <w:r w:rsidRPr="00D249BC">
      <w:rPr>
        <w:rFonts w:ascii="Arial" w:hAnsi="Arial" w:cs="Arial"/>
        <w:sz w:val="22"/>
        <w:szCs w:val="22"/>
      </w:rPr>
      <w:t>121196558</w:t>
    </w:r>
    <w:r w:rsidRPr="00D249BC">
      <w:rPr>
        <w:rFonts w:ascii="Arial" w:hAnsi="Arial" w:cs="Arial"/>
        <w:sz w:val="22"/>
        <w:szCs w:val="22"/>
      </w:rPr>
      <w:tab/>
    </w:r>
    <w:r w:rsidRPr="00D249BC">
      <w:rPr>
        <w:rFonts w:ascii="Arial" w:hAnsi="Arial" w:cs="Arial"/>
        <w:sz w:val="22"/>
        <w:szCs w:val="22"/>
      </w:rPr>
      <w:tab/>
      <w:t>LAWHONS 789</w:t>
    </w:r>
  </w:p>
  <w:p w14:paraId="443FBFC2" w14:textId="77777777" w:rsidR="00CC7EB4" w:rsidRDefault="00CC7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D7697"/>
    <w:multiLevelType w:val="hybridMultilevel"/>
    <w:tmpl w:val="858CB8F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A8726D"/>
    <w:multiLevelType w:val="hybridMultilevel"/>
    <w:tmpl w:val="89528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1329A"/>
    <w:multiLevelType w:val="multilevel"/>
    <w:tmpl w:val="DF100C0E"/>
    <w:lvl w:ilvl="0">
      <w:start w:val="1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D900F1"/>
    <w:multiLevelType w:val="hybridMultilevel"/>
    <w:tmpl w:val="B5727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A85ECE"/>
    <w:multiLevelType w:val="multilevel"/>
    <w:tmpl w:val="91B20224"/>
    <w:lvl w:ilvl="0">
      <w:start w:val="1"/>
      <w:numFmt w:val="decimal"/>
      <w:lvlText w:val="%1."/>
      <w:lvlJc w:val="left"/>
      <w:pPr>
        <w:tabs>
          <w:tab w:val="num" w:pos="720"/>
        </w:tabs>
        <w:ind w:left="720" w:hanging="360"/>
      </w:pPr>
    </w:lvl>
    <w:lvl w:ilvl="1">
      <w:start w:val="4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94490C"/>
    <w:multiLevelType w:val="hybridMultilevel"/>
    <w:tmpl w:val="1E26E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89789A"/>
    <w:multiLevelType w:val="hybridMultilevel"/>
    <w:tmpl w:val="E2DA5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7529C1"/>
    <w:multiLevelType w:val="hybridMultilevel"/>
    <w:tmpl w:val="F96EA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7425F7"/>
    <w:multiLevelType w:val="multilevel"/>
    <w:tmpl w:val="768C5BF2"/>
    <w:lvl w:ilvl="0">
      <w:start w:val="1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276C92"/>
    <w:multiLevelType w:val="hybridMultilevel"/>
    <w:tmpl w:val="E7564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7C3C87"/>
    <w:multiLevelType w:val="hybridMultilevel"/>
    <w:tmpl w:val="7FD2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DD4456"/>
    <w:multiLevelType w:val="hybridMultilevel"/>
    <w:tmpl w:val="A622E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9C1F42"/>
    <w:multiLevelType w:val="multilevel"/>
    <w:tmpl w:val="AA3E7A0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8F53D2"/>
    <w:multiLevelType w:val="hybridMultilevel"/>
    <w:tmpl w:val="D9B451D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4" w15:restartNumberingAfterBreak="0">
    <w:nsid w:val="7CDE1CCA"/>
    <w:multiLevelType w:val="multilevel"/>
    <w:tmpl w:val="41BC4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7346699">
    <w:abstractNumId w:val="10"/>
  </w:num>
  <w:num w:numId="2" w16cid:durableId="690572372">
    <w:abstractNumId w:val="11"/>
  </w:num>
  <w:num w:numId="3" w16cid:durableId="483667192">
    <w:abstractNumId w:val="6"/>
  </w:num>
  <w:num w:numId="4" w16cid:durableId="467554618">
    <w:abstractNumId w:val="14"/>
  </w:num>
  <w:num w:numId="5" w16cid:durableId="1607036808">
    <w:abstractNumId w:val="0"/>
  </w:num>
  <w:num w:numId="6" w16cid:durableId="1108355054">
    <w:abstractNumId w:val="13"/>
  </w:num>
  <w:num w:numId="7" w16cid:durableId="1928728075">
    <w:abstractNumId w:val="2"/>
  </w:num>
  <w:num w:numId="8" w16cid:durableId="1227492200">
    <w:abstractNumId w:val="5"/>
  </w:num>
  <w:num w:numId="9" w16cid:durableId="646670910">
    <w:abstractNumId w:val="1"/>
  </w:num>
  <w:num w:numId="10" w16cid:durableId="1754350516">
    <w:abstractNumId w:val="12"/>
  </w:num>
  <w:num w:numId="11" w16cid:durableId="1360005160">
    <w:abstractNumId w:val="4"/>
  </w:num>
  <w:num w:numId="12" w16cid:durableId="363216143">
    <w:abstractNumId w:val="3"/>
  </w:num>
  <w:num w:numId="13" w16cid:durableId="474030293">
    <w:abstractNumId w:val="7"/>
  </w:num>
  <w:num w:numId="14" w16cid:durableId="1727989047">
    <w:abstractNumId w:val="8"/>
  </w:num>
  <w:num w:numId="15" w16cid:durableId="8809378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EB4"/>
    <w:rsid w:val="001154F8"/>
    <w:rsid w:val="004D48B9"/>
    <w:rsid w:val="008D71EC"/>
    <w:rsid w:val="00A56AAD"/>
    <w:rsid w:val="00A64432"/>
    <w:rsid w:val="00BB4189"/>
    <w:rsid w:val="00CC7EB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5C7BE32C"/>
  <w15:chartTrackingRefBased/>
  <w15:docId w15:val="{070BA968-96C0-6E4B-8F05-8363ECE79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EB4"/>
    <w:pPr>
      <w:spacing w:after="0"/>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C7E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E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E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E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E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E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E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E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E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EB4"/>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CC7EB4"/>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CC7EB4"/>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CC7EB4"/>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CC7EB4"/>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CC7EB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C7EB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C7EB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C7EB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C7E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EB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C7E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EB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C7EB4"/>
    <w:pPr>
      <w:spacing w:before="160"/>
      <w:jc w:val="center"/>
    </w:pPr>
    <w:rPr>
      <w:i/>
      <w:iCs/>
      <w:color w:val="404040" w:themeColor="text1" w:themeTint="BF"/>
    </w:rPr>
  </w:style>
  <w:style w:type="character" w:customStyle="1" w:styleId="QuoteChar">
    <w:name w:val="Quote Char"/>
    <w:basedOn w:val="DefaultParagraphFont"/>
    <w:link w:val="Quote"/>
    <w:uiPriority w:val="29"/>
    <w:rsid w:val="00CC7EB4"/>
    <w:rPr>
      <w:i/>
      <w:iCs/>
      <w:color w:val="404040" w:themeColor="text1" w:themeTint="BF"/>
      <w:lang w:val="en-GB"/>
    </w:rPr>
  </w:style>
  <w:style w:type="paragraph" w:styleId="ListParagraph">
    <w:name w:val="List Paragraph"/>
    <w:basedOn w:val="Normal"/>
    <w:uiPriority w:val="34"/>
    <w:qFormat/>
    <w:rsid w:val="00CC7EB4"/>
    <w:pPr>
      <w:ind w:left="720"/>
      <w:contextualSpacing/>
    </w:pPr>
  </w:style>
  <w:style w:type="character" w:styleId="IntenseEmphasis">
    <w:name w:val="Intense Emphasis"/>
    <w:basedOn w:val="DefaultParagraphFont"/>
    <w:uiPriority w:val="21"/>
    <w:qFormat/>
    <w:rsid w:val="00CC7EB4"/>
    <w:rPr>
      <w:i/>
      <w:iCs/>
      <w:color w:val="0F4761" w:themeColor="accent1" w:themeShade="BF"/>
    </w:rPr>
  </w:style>
  <w:style w:type="paragraph" w:styleId="IntenseQuote">
    <w:name w:val="Intense Quote"/>
    <w:basedOn w:val="Normal"/>
    <w:next w:val="Normal"/>
    <w:link w:val="IntenseQuoteChar"/>
    <w:uiPriority w:val="30"/>
    <w:qFormat/>
    <w:rsid w:val="00CC7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EB4"/>
    <w:rPr>
      <w:i/>
      <w:iCs/>
      <w:color w:val="0F4761" w:themeColor="accent1" w:themeShade="BF"/>
      <w:lang w:val="en-GB"/>
    </w:rPr>
  </w:style>
  <w:style w:type="character" w:styleId="IntenseReference">
    <w:name w:val="Intense Reference"/>
    <w:basedOn w:val="DefaultParagraphFont"/>
    <w:uiPriority w:val="32"/>
    <w:qFormat/>
    <w:rsid w:val="00CC7EB4"/>
    <w:rPr>
      <w:b/>
      <w:bCs/>
      <w:smallCaps/>
      <w:color w:val="0F4761" w:themeColor="accent1" w:themeShade="BF"/>
      <w:spacing w:val="5"/>
    </w:rPr>
  </w:style>
  <w:style w:type="paragraph" w:styleId="FootnoteText">
    <w:name w:val="footnote text"/>
    <w:basedOn w:val="Normal"/>
    <w:link w:val="FootnoteTextChar"/>
    <w:uiPriority w:val="99"/>
    <w:unhideWhenUsed/>
    <w:rsid w:val="00CC7EB4"/>
    <w:rPr>
      <w:sz w:val="20"/>
      <w:szCs w:val="20"/>
    </w:rPr>
  </w:style>
  <w:style w:type="character" w:customStyle="1" w:styleId="FootnoteTextChar">
    <w:name w:val="Footnote Text Char"/>
    <w:basedOn w:val="DefaultParagraphFont"/>
    <w:link w:val="FootnoteText"/>
    <w:uiPriority w:val="99"/>
    <w:rsid w:val="00CC7EB4"/>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CC7EB4"/>
    <w:rPr>
      <w:vertAlign w:val="superscript"/>
    </w:rPr>
  </w:style>
  <w:style w:type="character" w:styleId="CommentReference">
    <w:name w:val="annotation reference"/>
    <w:basedOn w:val="DefaultParagraphFont"/>
    <w:uiPriority w:val="99"/>
    <w:semiHidden/>
    <w:unhideWhenUsed/>
    <w:rsid w:val="00CC7EB4"/>
    <w:rPr>
      <w:sz w:val="16"/>
      <w:szCs w:val="16"/>
    </w:rPr>
  </w:style>
  <w:style w:type="paragraph" w:styleId="CommentText">
    <w:name w:val="annotation text"/>
    <w:basedOn w:val="Normal"/>
    <w:link w:val="CommentTextChar"/>
    <w:uiPriority w:val="99"/>
    <w:semiHidden/>
    <w:unhideWhenUsed/>
    <w:rsid w:val="00CC7EB4"/>
    <w:rPr>
      <w:sz w:val="20"/>
      <w:szCs w:val="20"/>
    </w:rPr>
  </w:style>
  <w:style w:type="character" w:customStyle="1" w:styleId="CommentTextChar">
    <w:name w:val="Comment Text Char"/>
    <w:basedOn w:val="DefaultParagraphFont"/>
    <w:link w:val="CommentText"/>
    <w:uiPriority w:val="99"/>
    <w:semiHidden/>
    <w:rsid w:val="00CC7EB4"/>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CC7EB4"/>
    <w:rPr>
      <w:b/>
      <w:bCs/>
    </w:rPr>
  </w:style>
  <w:style w:type="character" w:customStyle="1" w:styleId="CommentSubjectChar">
    <w:name w:val="Comment Subject Char"/>
    <w:basedOn w:val="CommentTextChar"/>
    <w:link w:val="CommentSubject"/>
    <w:uiPriority w:val="99"/>
    <w:semiHidden/>
    <w:rsid w:val="00CC7EB4"/>
    <w:rPr>
      <w:rFonts w:ascii="Times New Roman" w:eastAsia="Times New Roman" w:hAnsi="Times New Roman" w:cs="Times New Roman"/>
      <w:b/>
      <w:bCs/>
      <w:kern w:val="0"/>
      <w:sz w:val="20"/>
      <w:szCs w:val="20"/>
      <w:lang w:eastAsia="en-GB"/>
      <w14:ligatures w14:val="none"/>
    </w:rPr>
  </w:style>
  <w:style w:type="paragraph" w:styleId="NormalWeb">
    <w:name w:val="Normal (Web)"/>
    <w:basedOn w:val="Normal"/>
    <w:uiPriority w:val="99"/>
    <w:unhideWhenUsed/>
    <w:rsid w:val="00CC7EB4"/>
    <w:pPr>
      <w:spacing w:before="100" w:beforeAutospacing="1" w:after="100" w:afterAutospacing="1"/>
    </w:pPr>
  </w:style>
  <w:style w:type="character" w:styleId="Hyperlink">
    <w:name w:val="Hyperlink"/>
    <w:basedOn w:val="DefaultParagraphFont"/>
    <w:uiPriority w:val="99"/>
    <w:unhideWhenUsed/>
    <w:rsid w:val="00CC7EB4"/>
    <w:rPr>
      <w:color w:val="467886" w:themeColor="hyperlink"/>
      <w:u w:val="single"/>
    </w:rPr>
  </w:style>
  <w:style w:type="character" w:styleId="UnresolvedMention">
    <w:name w:val="Unresolved Mention"/>
    <w:basedOn w:val="DefaultParagraphFont"/>
    <w:uiPriority w:val="99"/>
    <w:semiHidden/>
    <w:unhideWhenUsed/>
    <w:rsid w:val="00CC7EB4"/>
    <w:rPr>
      <w:color w:val="605E5C"/>
      <w:shd w:val="clear" w:color="auto" w:fill="E1DFDD"/>
    </w:rPr>
  </w:style>
  <w:style w:type="character" w:customStyle="1" w:styleId="opinion-headline">
    <w:name w:val="opinion-headline"/>
    <w:basedOn w:val="DefaultParagraphFont"/>
    <w:rsid w:val="00CC7EB4"/>
  </w:style>
  <w:style w:type="character" w:styleId="FollowedHyperlink">
    <w:name w:val="FollowedHyperlink"/>
    <w:basedOn w:val="DefaultParagraphFont"/>
    <w:uiPriority w:val="99"/>
    <w:semiHidden/>
    <w:unhideWhenUsed/>
    <w:rsid w:val="00CC7EB4"/>
    <w:rPr>
      <w:color w:val="96607D" w:themeColor="followedHyperlink"/>
      <w:u w:val="single"/>
    </w:rPr>
  </w:style>
  <w:style w:type="paragraph" w:styleId="Header">
    <w:name w:val="header"/>
    <w:basedOn w:val="Normal"/>
    <w:link w:val="HeaderChar"/>
    <w:uiPriority w:val="99"/>
    <w:unhideWhenUsed/>
    <w:rsid w:val="00CC7EB4"/>
    <w:pPr>
      <w:tabs>
        <w:tab w:val="center" w:pos="4513"/>
        <w:tab w:val="right" w:pos="9026"/>
      </w:tabs>
    </w:pPr>
  </w:style>
  <w:style w:type="character" w:customStyle="1" w:styleId="HeaderChar">
    <w:name w:val="Header Char"/>
    <w:basedOn w:val="DefaultParagraphFont"/>
    <w:link w:val="Header"/>
    <w:uiPriority w:val="99"/>
    <w:rsid w:val="00CC7EB4"/>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CC7EB4"/>
    <w:pPr>
      <w:tabs>
        <w:tab w:val="center" w:pos="4513"/>
        <w:tab w:val="right" w:pos="9026"/>
      </w:tabs>
    </w:pPr>
  </w:style>
  <w:style w:type="character" w:customStyle="1" w:styleId="FooterChar">
    <w:name w:val="Footer Char"/>
    <w:basedOn w:val="DefaultParagraphFont"/>
    <w:link w:val="Footer"/>
    <w:uiPriority w:val="99"/>
    <w:rsid w:val="00CC7EB4"/>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CC7EB4"/>
  </w:style>
  <w:style w:type="character" w:customStyle="1" w:styleId="textlayer--absolute">
    <w:name w:val="textlayer--absolute"/>
    <w:basedOn w:val="DefaultParagraphFont"/>
    <w:rsid w:val="00CC7EB4"/>
  </w:style>
  <w:style w:type="character" w:customStyle="1" w:styleId="ssit">
    <w:name w:val="ss_it"/>
    <w:basedOn w:val="DefaultParagraphFont"/>
    <w:rsid w:val="00CC7EB4"/>
  </w:style>
  <w:style w:type="character" w:customStyle="1" w:styleId="apple-converted-space">
    <w:name w:val="apple-converted-space"/>
    <w:basedOn w:val="DefaultParagraphFont"/>
    <w:rsid w:val="00CC7EB4"/>
  </w:style>
  <w:style w:type="character" w:styleId="Strong">
    <w:name w:val="Strong"/>
    <w:basedOn w:val="DefaultParagraphFont"/>
    <w:uiPriority w:val="22"/>
    <w:qFormat/>
    <w:rsid w:val="00CC7EB4"/>
    <w:rPr>
      <w:b/>
      <w:bCs/>
    </w:rPr>
  </w:style>
  <w:style w:type="paragraph" w:customStyle="1" w:styleId="chapter-para">
    <w:name w:val="chapter-para"/>
    <w:basedOn w:val="Normal"/>
    <w:rsid w:val="00CC7EB4"/>
    <w:pPr>
      <w:spacing w:before="100" w:beforeAutospacing="1" w:after="100" w:afterAutospacing="1"/>
    </w:pPr>
  </w:style>
  <w:style w:type="character" w:styleId="Emphasis">
    <w:name w:val="Emphasis"/>
    <w:basedOn w:val="DefaultParagraphFont"/>
    <w:uiPriority w:val="20"/>
    <w:qFormat/>
    <w:rsid w:val="00CC7EB4"/>
    <w:rPr>
      <w:i/>
      <w:iCs/>
    </w:rPr>
  </w:style>
  <w:style w:type="paragraph" w:customStyle="1" w:styleId="footnote-compatibility">
    <w:name w:val="footnote-compatibility"/>
    <w:basedOn w:val="Normal"/>
    <w:rsid w:val="00CC7E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comcom.govt.nz"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www.rnz.co.nz" TargetMode="External"/><Relationship Id="rId17" Type="http://schemas.openxmlformats.org/officeDocument/2006/relationships/hyperlink" Target="http://www.oed.com" TargetMode="External"/><Relationship Id="rId2" Type="http://schemas.openxmlformats.org/officeDocument/2006/relationships/styles" Target="styles.xml"/><Relationship Id="rId16" Type="http://schemas.openxmlformats.org/officeDocument/2006/relationships/hyperlink" Target="https://plato.stanford.edu/index.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ivacy.org.nz" TargetMode="External"/><Relationship Id="rId5" Type="http://schemas.openxmlformats.org/officeDocument/2006/relationships/footnotes" Target="footnotes.xml"/><Relationship Id="rId15" Type="http://schemas.openxmlformats.org/officeDocument/2006/relationships/hyperlink" Target="http://www.mbie.govt.nz" TargetMode="External"/><Relationship Id="rId10" Type="http://schemas.openxmlformats.org/officeDocument/2006/relationships/hyperlink" Target="https://discord.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deceptive.design" TargetMode="External"/><Relationship Id="rId14" Type="http://schemas.openxmlformats.org/officeDocument/2006/relationships/hyperlink" Target="http://www.nytimes.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mbie.govt.nz" TargetMode="External"/><Relationship Id="rId3" Type="http://schemas.openxmlformats.org/officeDocument/2006/relationships/hyperlink" Target="http://www.oed.com" TargetMode="External"/><Relationship Id="rId7" Type="http://schemas.openxmlformats.org/officeDocument/2006/relationships/hyperlink" Target="http://www.privacy.org.nz" TargetMode="External"/><Relationship Id="rId2" Type="http://schemas.openxmlformats.org/officeDocument/2006/relationships/hyperlink" Target="https://discord.com" TargetMode="External"/><Relationship Id="rId1" Type="http://schemas.openxmlformats.org/officeDocument/2006/relationships/hyperlink" Target="http://www.nytimes.com" TargetMode="External"/><Relationship Id="rId6" Type="http://schemas.openxmlformats.org/officeDocument/2006/relationships/hyperlink" Target="https://plato.stanford.edu/index.html" TargetMode="External"/><Relationship Id="rId5" Type="http://schemas.openxmlformats.org/officeDocument/2006/relationships/hyperlink" Target="http://www.deceptive.design" TargetMode="External"/><Relationship Id="rId4" Type="http://schemas.openxmlformats.org/officeDocument/2006/relationships/hyperlink" Target="http://www.rnz.co.nz" TargetMode="External"/><Relationship Id="rId9" Type="http://schemas.openxmlformats.org/officeDocument/2006/relationships/hyperlink" Target="https://comcom.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14051</Words>
  <Characters>80097</Characters>
  <Application>Microsoft Office Word</Application>
  <DocSecurity>0</DocSecurity>
  <Lines>667</Lines>
  <Paragraphs>187</Paragraphs>
  <ScaleCrop>false</ScaleCrop>
  <Company/>
  <LinksUpToDate>false</LinksUpToDate>
  <CharactersWithSpaces>93961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Howell</dc:creator>
  <cp:keywords/>
  <dc:description/>
  <cp:lastModifiedBy>Nicholas Howell</cp:lastModifiedBy>
  <cp:revision>2</cp:revision>
  <dcterms:created xsi:type="dcterms:W3CDTF">2025-07-26T03:47:00Z</dcterms:created>
  <dcterms:modified xsi:type="dcterms:W3CDTF">2025-07-26T03:49:00Z</dcterms:modified>
</cp:coreProperties>
</file>